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273C6B">
      <w:pPr>
        <w:spacing w:after="163" w:afterLines="50" w:line="400" w:lineRule="exact"/>
        <w:jc w:val="center"/>
        <w:rPr>
          <w:rFonts w:ascii="黑体" w:eastAsia="黑体"/>
          <w:sz w:val="32"/>
          <w:szCs w:val="32"/>
        </w:rPr>
      </w:pPr>
      <w:r>
        <w:rPr>
          <w:rFonts w:hint="eastAsia" w:ascii="黑体" w:eastAsia="黑体"/>
          <w:b/>
          <w:sz w:val="32"/>
          <w:szCs w:val="32"/>
        </w:rPr>
        <w:t>浙江师范大学硕士研究生入学考试初试科目</w:t>
      </w:r>
      <w:r>
        <w:rPr>
          <w:rFonts w:ascii="黑体" w:eastAsia="黑体"/>
          <w:b/>
          <w:sz w:val="32"/>
          <w:szCs w:val="32"/>
        </w:rPr>
        <w:br w:type="textWrapping"/>
      </w:r>
      <w:r>
        <w:rPr>
          <w:rFonts w:hint="eastAsia" w:ascii="黑体" w:eastAsia="黑体"/>
          <w:b/>
          <w:sz w:val="32"/>
          <w:szCs w:val="32"/>
        </w:rPr>
        <w:t>考　试　大　纲</w:t>
      </w:r>
    </w:p>
    <w:tbl>
      <w:tblPr>
        <w:tblStyle w:val="6"/>
        <w:tblW w:w="8460" w:type="dxa"/>
        <w:tblInd w:w="108" w:type="dxa"/>
        <w:tblLayout w:type="fixed"/>
        <w:tblCellMar>
          <w:top w:w="0" w:type="dxa"/>
          <w:left w:w="108" w:type="dxa"/>
          <w:bottom w:w="0" w:type="dxa"/>
          <w:right w:w="108" w:type="dxa"/>
        </w:tblCellMar>
      </w:tblPr>
      <w:tblGrid>
        <w:gridCol w:w="1080"/>
        <w:gridCol w:w="655"/>
        <w:gridCol w:w="6725"/>
      </w:tblGrid>
      <w:tr w14:paraId="05062CD7">
        <w:tblPrEx>
          <w:tblCellMar>
            <w:top w:w="0" w:type="dxa"/>
            <w:left w:w="108" w:type="dxa"/>
            <w:bottom w:w="0" w:type="dxa"/>
            <w:right w:w="108" w:type="dxa"/>
          </w:tblCellMar>
        </w:tblPrEx>
        <w:trPr>
          <w:trHeight w:val="435" w:hRule="atLeast"/>
        </w:trPr>
        <w:tc>
          <w:tcPr>
            <w:tcW w:w="1735" w:type="dxa"/>
            <w:gridSpan w:val="2"/>
            <w:vAlign w:val="bottom"/>
          </w:tcPr>
          <w:p w14:paraId="44F2335A">
            <w:pPr>
              <w:spacing w:after="48" w:afterLines="15"/>
              <w:ind w:left="-110" w:leftChars="-50" w:right="-110" w:rightChars="-50"/>
              <w:rPr>
                <w:rFonts w:ascii="宋体" w:hAnsi="宋体"/>
                <w:b/>
                <w:szCs w:val="21"/>
              </w:rPr>
            </w:pPr>
            <w:r>
              <w:rPr>
                <w:rFonts w:hint="eastAsia" w:ascii="宋体" w:hAnsi="宋体"/>
                <w:b/>
                <w:szCs w:val="21"/>
              </w:rPr>
              <w:t>科目代码、名称:</w:t>
            </w:r>
          </w:p>
        </w:tc>
        <w:tc>
          <w:tcPr>
            <w:tcW w:w="6725" w:type="dxa"/>
            <w:tcBorders>
              <w:bottom w:val="single" w:color="auto" w:sz="4" w:space="0"/>
            </w:tcBorders>
            <w:vAlign w:val="bottom"/>
          </w:tcPr>
          <w:p w14:paraId="00272F10">
            <w:pPr>
              <w:pStyle w:val="2"/>
              <w:spacing w:before="81" w:beforeLines="25" w:after="32" w:afterLines="10" w:line="240" w:lineRule="auto"/>
              <w:jc w:val="center"/>
              <w:rPr>
                <w:sz w:val="21"/>
                <w:szCs w:val="21"/>
              </w:rPr>
            </w:pPr>
            <w:r>
              <w:rPr>
                <w:rFonts w:hint="eastAsia"/>
                <w:sz w:val="21"/>
                <w:szCs w:val="21"/>
                <w:lang w:val="en-US" w:eastAsia="zh-CN"/>
              </w:rPr>
              <w:t xml:space="preserve">434 </w:t>
            </w:r>
            <w:r>
              <w:rPr>
                <w:rFonts w:hint="eastAsia"/>
                <w:sz w:val="21"/>
                <w:szCs w:val="21"/>
              </w:rPr>
              <w:t>国际商务专业基础</w:t>
            </w:r>
          </w:p>
        </w:tc>
      </w:tr>
      <w:tr w14:paraId="1E9A68DC">
        <w:tblPrEx>
          <w:tblCellMar>
            <w:top w:w="0" w:type="dxa"/>
            <w:left w:w="108" w:type="dxa"/>
            <w:bottom w:w="0" w:type="dxa"/>
            <w:right w:w="108" w:type="dxa"/>
          </w:tblCellMar>
        </w:tblPrEx>
        <w:trPr>
          <w:trHeight w:val="435" w:hRule="atLeast"/>
        </w:trPr>
        <w:tc>
          <w:tcPr>
            <w:tcW w:w="1080" w:type="dxa"/>
            <w:vAlign w:val="bottom"/>
          </w:tcPr>
          <w:p w14:paraId="29A4BF67">
            <w:pPr>
              <w:spacing w:after="65" w:afterLines="20"/>
              <w:ind w:left="-110" w:leftChars="-50" w:right="-110" w:rightChars="-50"/>
              <w:rPr>
                <w:rFonts w:ascii="宋体" w:hAnsi="宋体"/>
                <w:b/>
                <w:szCs w:val="21"/>
              </w:rPr>
            </w:pPr>
            <w:r>
              <w:rPr>
                <w:rFonts w:hint="eastAsia" w:ascii="宋体" w:hAnsi="宋体"/>
                <w:b/>
                <w:szCs w:val="21"/>
              </w:rPr>
              <w:t>适用专业:</w:t>
            </w:r>
          </w:p>
        </w:tc>
        <w:tc>
          <w:tcPr>
            <w:tcW w:w="7380" w:type="dxa"/>
            <w:gridSpan w:val="2"/>
            <w:tcBorders>
              <w:bottom w:val="single" w:color="auto" w:sz="4" w:space="0"/>
            </w:tcBorders>
            <w:vAlign w:val="bottom"/>
          </w:tcPr>
          <w:p w14:paraId="53024D0D">
            <w:pPr>
              <w:spacing w:before="81" w:beforeLines="25" w:after="32" w:afterLines="10"/>
              <w:jc w:val="center"/>
              <w:rPr>
                <w:b/>
                <w:szCs w:val="21"/>
              </w:rPr>
            </w:pPr>
            <w:r>
              <w:rPr>
                <w:rFonts w:hint="default" w:ascii="Times New Roman" w:hAnsi="Times New Roman" w:cs="Times New Roman"/>
                <w:b/>
                <w:sz w:val="21"/>
                <w:szCs w:val="21"/>
              </w:rPr>
              <w:t>025400国际商务</w:t>
            </w:r>
          </w:p>
        </w:tc>
      </w:tr>
    </w:tbl>
    <w:p w14:paraId="2146DDA3"/>
    <w:p w14:paraId="6805603A">
      <w:pPr>
        <w:spacing w:before="326" w:beforeLines="100" w:after="32" w:afterLines="10" w:line="288" w:lineRule="auto"/>
        <w:rPr>
          <w:rFonts w:hint="default" w:ascii="Times New Roman" w:hAnsi="Times New Roman" w:cs="Times New Roman"/>
          <w:b/>
          <w:szCs w:val="21"/>
        </w:rPr>
      </w:pPr>
      <w:r>
        <w:rPr>
          <w:rFonts w:hint="default" w:ascii="Times New Roman" w:hAnsi="Times New Roman" w:cs="Times New Roman"/>
        </w:rPr>
        <w:t>一、</w:t>
      </w:r>
      <w:r>
        <w:rPr>
          <w:rFonts w:hint="default" w:ascii="Times New Roman" w:hAnsi="Times New Roman" w:cs="Times New Roman"/>
          <w:b/>
          <w:szCs w:val="21"/>
        </w:rPr>
        <w:t>考试形式与试卷结构</w:t>
      </w:r>
    </w:p>
    <w:p w14:paraId="3BAAA2AD">
      <w:pPr>
        <w:pStyle w:val="11"/>
        <w:spacing w:before="32" w:beforeLines="10" w:after="32" w:afterLines="10" w:line="288" w:lineRule="auto"/>
        <w:ind w:firstLine="422"/>
        <w:rPr>
          <w:rFonts w:hint="default" w:ascii="Times New Roman" w:hAnsi="Times New Roman" w:eastAsia="新宋体" w:cs="Times New Roman"/>
          <w:b/>
          <w:szCs w:val="21"/>
        </w:rPr>
      </w:pPr>
      <w:r>
        <w:rPr>
          <w:rFonts w:hint="default" w:ascii="Times New Roman" w:hAnsi="Times New Roman" w:cs="Times New Roman"/>
          <w:b/>
          <w:szCs w:val="21"/>
        </w:rPr>
        <w:t>（一）试卷满分 及 考试时间</w:t>
      </w:r>
    </w:p>
    <w:p w14:paraId="4A7F3CA7">
      <w:pPr>
        <w:pStyle w:val="11"/>
        <w:spacing w:before="32" w:beforeLines="10" w:after="32" w:afterLines="10" w:line="288" w:lineRule="auto"/>
        <w:rPr>
          <w:rFonts w:hint="default" w:ascii="Times New Roman" w:hAnsi="Times New Roman" w:eastAsia="新宋体" w:cs="Times New Roman"/>
          <w:szCs w:val="21"/>
        </w:rPr>
      </w:pPr>
      <w:r>
        <w:rPr>
          <w:rFonts w:hint="default" w:ascii="Times New Roman" w:hAnsi="Times New Roman" w:eastAsia="新宋体" w:cs="Times New Roman"/>
          <w:szCs w:val="21"/>
        </w:rPr>
        <w:t>本试卷满分为150分，考试时间为180分钟。</w:t>
      </w:r>
    </w:p>
    <w:p w14:paraId="6A7D3106">
      <w:pPr>
        <w:pStyle w:val="11"/>
        <w:spacing w:before="32" w:beforeLines="10" w:after="32" w:afterLines="10" w:line="288" w:lineRule="auto"/>
        <w:ind w:firstLine="422"/>
        <w:rPr>
          <w:rFonts w:hint="default" w:ascii="Times New Roman" w:hAnsi="Times New Roman" w:eastAsia="新宋体" w:cs="Times New Roman"/>
          <w:b/>
          <w:szCs w:val="21"/>
        </w:rPr>
      </w:pPr>
      <w:r>
        <w:rPr>
          <w:rFonts w:hint="default" w:ascii="Times New Roman" w:hAnsi="Times New Roman" w:eastAsia="新宋体" w:cs="Times New Roman"/>
          <w:b/>
          <w:szCs w:val="21"/>
        </w:rPr>
        <w:t>（二）答题方式</w:t>
      </w:r>
    </w:p>
    <w:p w14:paraId="470AE1BB">
      <w:pPr>
        <w:pStyle w:val="11"/>
        <w:spacing w:before="32" w:beforeLines="10" w:after="32" w:afterLines="10" w:line="288" w:lineRule="auto"/>
        <w:rPr>
          <w:rFonts w:hint="default" w:ascii="Times New Roman" w:hAnsi="Times New Roman" w:eastAsia="新宋体" w:cs="Times New Roman"/>
          <w:szCs w:val="21"/>
        </w:rPr>
      </w:pPr>
      <w:r>
        <w:rPr>
          <w:rFonts w:hint="default" w:ascii="Times New Roman" w:hAnsi="Times New Roman" w:eastAsia="新宋体" w:cs="Times New Roman"/>
          <w:szCs w:val="21"/>
        </w:rPr>
        <w:t>答题方式为闭卷、笔试。</w:t>
      </w:r>
    </w:p>
    <w:p w14:paraId="7FA32A2D">
      <w:pPr>
        <w:pStyle w:val="11"/>
        <w:spacing w:before="32" w:beforeLines="10" w:after="32" w:afterLines="10" w:line="288" w:lineRule="auto"/>
        <w:rPr>
          <w:rFonts w:hint="default" w:ascii="Times New Roman" w:hAnsi="Times New Roman" w:eastAsia="新宋体" w:cs="Times New Roman"/>
          <w:szCs w:val="21"/>
        </w:rPr>
      </w:pPr>
      <w:r>
        <w:rPr>
          <w:rFonts w:hint="default" w:ascii="Times New Roman" w:hAnsi="Times New Roman" w:eastAsia="新宋体" w:cs="Times New Roman"/>
          <w:szCs w:val="21"/>
        </w:rPr>
        <w:t>试卷由试题和答题纸组成；答案必须写在答题纸（由考点提供）相应的位置上。</w:t>
      </w:r>
    </w:p>
    <w:p w14:paraId="10506C93">
      <w:pPr>
        <w:pStyle w:val="13"/>
        <w:spacing w:before="32" w:beforeLines="10" w:after="32" w:afterLines="10" w:line="288" w:lineRule="auto"/>
        <w:ind w:firstLine="422"/>
        <w:rPr>
          <w:rFonts w:hint="default" w:ascii="Times New Roman" w:hAnsi="Times New Roman" w:cs="Times New Roman"/>
          <w:b/>
          <w:szCs w:val="21"/>
        </w:rPr>
      </w:pPr>
      <w:r>
        <w:rPr>
          <w:rFonts w:hint="default" w:ascii="Times New Roman" w:hAnsi="Times New Roman" w:eastAsia="新宋体" w:cs="Times New Roman"/>
          <w:b/>
          <w:szCs w:val="21"/>
        </w:rPr>
        <w:t>（三）试卷内容结构（</w:t>
      </w:r>
      <w:r>
        <w:rPr>
          <w:rFonts w:hint="default" w:ascii="Times New Roman" w:hAnsi="Times New Roman" w:cs="Times New Roman"/>
          <w:b/>
          <w:szCs w:val="21"/>
        </w:rPr>
        <w:t>考试的内容比例及题型）</w:t>
      </w:r>
    </w:p>
    <w:p w14:paraId="59483D63">
      <w:pPr>
        <w:pStyle w:val="13"/>
        <w:spacing w:before="32" w:beforeLines="10" w:after="32" w:afterLines="10" w:line="288" w:lineRule="auto"/>
        <w:rPr>
          <w:rFonts w:hint="default" w:ascii="Times New Roman" w:hAnsi="Times New Roman" w:eastAsia="新宋体" w:cs="Times New Roman"/>
          <w:szCs w:val="21"/>
        </w:rPr>
      </w:pPr>
      <w:r>
        <w:rPr>
          <w:rFonts w:hint="default" w:ascii="Times New Roman" w:hAnsi="Times New Roman" w:eastAsia="新宋体" w:cs="Times New Roman"/>
          <w:szCs w:val="21"/>
        </w:rPr>
        <w:t>名词解释题（概念题）：4小题，每小题10分，共40分</w:t>
      </w:r>
    </w:p>
    <w:p w14:paraId="2DED28E3">
      <w:pPr>
        <w:pStyle w:val="13"/>
        <w:spacing w:before="32" w:beforeLines="10" w:after="32" w:afterLines="10" w:line="288" w:lineRule="auto"/>
        <w:rPr>
          <w:rFonts w:hint="default" w:ascii="Times New Roman" w:hAnsi="Times New Roman" w:eastAsia="新宋体" w:cs="Times New Roman"/>
          <w:szCs w:val="21"/>
        </w:rPr>
      </w:pPr>
      <w:r>
        <w:rPr>
          <w:rFonts w:hint="default" w:ascii="Times New Roman" w:hAnsi="Times New Roman" w:eastAsia="新宋体" w:cs="Times New Roman"/>
          <w:szCs w:val="21"/>
        </w:rPr>
        <w:t>简答题（简述题）：4小题，每小题15分，共60分</w:t>
      </w:r>
    </w:p>
    <w:p w14:paraId="2FF8CAAD">
      <w:pPr>
        <w:pStyle w:val="13"/>
        <w:spacing w:before="32" w:beforeLines="10" w:after="32" w:afterLines="10" w:line="288" w:lineRule="auto"/>
        <w:rPr>
          <w:rFonts w:hint="default" w:ascii="Times New Roman" w:hAnsi="Times New Roman" w:eastAsia="新宋体" w:cs="Times New Roman"/>
          <w:szCs w:val="21"/>
        </w:rPr>
      </w:pPr>
      <w:r>
        <w:rPr>
          <w:rFonts w:hint="default" w:ascii="Times New Roman" w:hAnsi="Times New Roman" w:eastAsia="新宋体" w:cs="Times New Roman"/>
          <w:szCs w:val="21"/>
        </w:rPr>
        <w:t>分析论述题（综合题）：2小题，每小题25分，共50分</w:t>
      </w:r>
    </w:p>
    <w:p w14:paraId="56E4AD0B">
      <w:pPr>
        <w:rPr>
          <w:rFonts w:hint="default" w:ascii="Times New Roman" w:hAnsi="Times New Roman" w:cs="Times New Roman"/>
          <w:b/>
          <w:szCs w:val="21"/>
        </w:rPr>
      </w:pPr>
      <w:r>
        <w:rPr>
          <w:rFonts w:hint="default" w:ascii="Times New Roman" w:hAnsi="Times New Roman" w:cs="Times New Roman"/>
          <w:b/>
          <w:szCs w:val="21"/>
        </w:rPr>
        <w:t>二、考查目标</w:t>
      </w:r>
    </w:p>
    <w:p w14:paraId="600EB1D0">
      <w:pPr>
        <w:ind w:firstLine="420" w:firstLineChars="200"/>
        <w:rPr>
          <w:rFonts w:hint="default" w:ascii="Times New Roman" w:hAnsi="Times New Roman" w:eastAsia="新宋体" w:cs="Times New Roman"/>
          <w:kern w:val="2"/>
          <w:sz w:val="21"/>
          <w:szCs w:val="21"/>
        </w:rPr>
      </w:pPr>
      <w:r>
        <w:rPr>
          <w:rFonts w:hint="default" w:ascii="Times New Roman" w:hAnsi="Times New Roman" w:eastAsia="新宋体" w:cs="Times New Roman"/>
          <w:kern w:val="2"/>
          <w:sz w:val="21"/>
          <w:szCs w:val="21"/>
          <w:lang w:val="en-US" w:eastAsia="zh-CN"/>
        </w:rPr>
        <w:t>考生应该能够</w:t>
      </w:r>
      <w:r>
        <w:rPr>
          <w:rFonts w:hint="default" w:ascii="Times New Roman" w:hAnsi="Times New Roman" w:eastAsia="新宋体" w:cs="Times New Roman"/>
          <w:kern w:val="2"/>
          <w:sz w:val="21"/>
          <w:szCs w:val="21"/>
        </w:rPr>
        <w:t>准确地再认或再现国际</w:t>
      </w:r>
      <w:r>
        <w:rPr>
          <w:rFonts w:hint="default" w:ascii="Times New Roman" w:hAnsi="Times New Roman" w:eastAsia="新宋体" w:cs="Times New Roman"/>
          <w:kern w:val="2"/>
          <w:sz w:val="21"/>
          <w:szCs w:val="21"/>
          <w:lang w:val="en-US" w:eastAsia="zh-CN"/>
        </w:rPr>
        <w:t>商务</w:t>
      </w:r>
      <w:r>
        <w:rPr>
          <w:rFonts w:hint="default" w:ascii="Times New Roman" w:hAnsi="Times New Roman" w:eastAsia="新宋体" w:cs="Times New Roman"/>
          <w:kern w:val="2"/>
          <w:sz w:val="21"/>
          <w:szCs w:val="21"/>
        </w:rPr>
        <w:t>的有关知识</w:t>
      </w:r>
      <w:r>
        <w:rPr>
          <w:rFonts w:hint="eastAsia" w:ascii="Times New Roman" w:hAnsi="Times New Roman" w:eastAsia="新宋体" w:cs="Times New Roman"/>
          <w:kern w:val="2"/>
          <w:sz w:val="21"/>
          <w:szCs w:val="21"/>
          <w:lang w:eastAsia="zh-CN"/>
        </w:rPr>
        <w:t>，</w:t>
      </w:r>
      <w:r>
        <w:rPr>
          <w:rFonts w:hint="default" w:ascii="Times New Roman" w:hAnsi="Times New Roman" w:eastAsia="新宋体" w:cs="Times New Roman"/>
          <w:kern w:val="2"/>
          <w:sz w:val="21"/>
          <w:szCs w:val="21"/>
        </w:rPr>
        <w:t>正确理解和掌握国际</w:t>
      </w:r>
      <w:r>
        <w:rPr>
          <w:rFonts w:hint="default" w:ascii="Times New Roman" w:hAnsi="Times New Roman" w:eastAsia="新宋体" w:cs="Times New Roman"/>
          <w:kern w:val="2"/>
          <w:sz w:val="21"/>
          <w:szCs w:val="21"/>
          <w:lang w:val="en-US" w:eastAsia="zh-CN"/>
        </w:rPr>
        <w:t>商务</w:t>
      </w:r>
      <w:r>
        <w:rPr>
          <w:rFonts w:hint="default" w:ascii="Times New Roman" w:hAnsi="Times New Roman" w:eastAsia="新宋体" w:cs="Times New Roman"/>
          <w:kern w:val="2"/>
          <w:sz w:val="21"/>
          <w:szCs w:val="21"/>
        </w:rPr>
        <w:t>的有关范畴、规律和论断；运用有关原理，解释和论证某种观点，辨明理论是非；准确、恰当地使用国际</w:t>
      </w:r>
      <w:r>
        <w:rPr>
          <w:rFonts w:hint="default" w:ascii="Times New Roman" w:hAnsi="Times New Roman" w:eastAsia="新宋体" w:cs="Times New Roman"/>
          <w:kern w:val="2"/>
          <w:sz w:val="21"/>
          <w:szCs w:val="21"/>
          <w:lang w:val="en-US" w:eastAsia="zh-CN"/>
        </w:rPr>
        <w:t>商务</w:t>
      </w:r>
      <w:r>
        <w:rPr>
          <w:rFonts w:hint="default" w:ascii="Times New Roman" w:hAnsi="Times New Roman" w:eastAsia="新宋体" w:cs="Times New Roman"/>
          <w:kern w:val="2"/>
          <w:sz w:val="21"/>
          <w:szCs w:val="21"/>
        </w:rPr>
        <w:t>专业术语，文字通顺，层次清楚，有论有据，合乎逻辑地表述与分析实际对外经贸问题。</w:t>
      </w:r>
    </w:p>
    <w:p w14:paraId="5946D8DD">
      <w:pPr>
        <w:ind w:firstLine="420" w:firstLineChars="200"/>
        <w:rPr>
          <w:rFonts w:hint="default" w:ascii="Times New Roman" w:hAnsi="Times New Roman" w:eastAsia="新宋体" w:cs="Times New Roman"/>
          <w:kern w:val="2"/>
          <w:sz w:val="21"/>
          <w:szCs w:val="21"/>
        </w:rPr>
      </w:pPr>
      <w:r>
        <w:rPr>
          <w:rFonts w:hint="default" w:ascii="Times New Roman" w:hAnsi="Times New Roman" w:eastAsia="新宋体" w:cs="Times New Roman"/>
          <w:kern w:val="2"/>
          <w:sz w:val="21"/>
          <w:szCs w:val="21"/>
        </w:rPr>
        <w:t>考试目的在于测试学生对于国际商务领域核心概念、基本原理及基本分析工具和分析方法的掌握程度，了解学生是否具备初步应用这些基本原理和方法分析国际经济和全球市场运行中的各种现象、解决跨国公司经营中的各种问题的能力，是否具备进一步深造的基本素养和职业潜质。</w:t>
      </w:r>
    </w:p>
    <w:p w14:paraId="1B16CA0B">
      <w:pPr>
        <w:rPr>
          <w:rFonts w:hint="default" w:ascii="Times New Roman" w:hAnsi="Times New Roman" w:cs="Times New Roman"/>
          <w:b/>
          <w:szCs w:val="21"/>
        </w:rPr>
      </w:pPr>
      <w:r>
        <w:rPr>
          <w:rFonts w:hint="default" w:ascii="Times New Roman" w:hAnsi="Times New Roman" w:cs="Times New Roman"/>
          <w:b/>
          <w:szCs w:val="21"/>
        </w:rPr>
        <w:t>三、考查范围或考试内容概要</w:t>
      </w:r>
    </w:p>
    <w:p w14:paraId="4715874D">
      <w:pPr>
        <w:pStyle w:val="12"/>
        <w:rPr>
          <w:rFonts w:hint="default" w:ascii="Times New Roman" w:hAnsi="Times New Roman" w:eastAsia="新宋体" w:cs="Times New Roman"/>
          <w:kern w:val="2"/>
          <w:sz w:val="21"/>
          <w:szCs w:val="21"/>
        </w:rPr>
      </w:pPr>
      <w:r>
        <w:rPr>
          <w:rFonts w:hint="default" w:ascii="Times New Roman" w:hAnsi="Times New Roman" w:eastAsia="新宋体" w:cs="Times New Roman"/>
          <w:kern w:val="2"/>
          <w:sz w:val="21"/>
          <w:szCs w:val="21"/>
        </w:rPr>
        <w:t>国际商务的基础内容主要包括国际贸易理论与政策、国际直接投资与跨国</w:t>
      </w:r>
      <w:r>
        <w:rPr>
          <w:rFonts w:hint="default" w:ascii="Times New Roman" w:hAnsi="Times New Roman" w:eastAsia="新宋体" w:cs="Times New Roman"/>
          <w:kern w:val="2"/>
          <w:sz w:val="21"/>
          <w:szCs w:val="21"/>
          <w:lang w:val="en-US" w:eastAsia="zh-CN"/>
        </w:rPr>
        <w:t>公司</w:t>
      </w:r>
      <w:r>
        <w:rPr>
          <w:rFonts w:hint="default" w:ascii="Times New Roman" w:hAnsi="Times New Roman" w:eastAsia="新宋体" w:cs="Times New Roman"/>
          <w:kern w:val="2"/>
          <w:sz w:val="21"/>
          <w:szCs w:val="21"/>
        </w:rPr>
        <w:t>、国际金融</w:t>
      </w:r>
      <w:r>
        <w:rPr>
          <w:rFonts w:hint="default" w:ascii="Times New Roman" w:hAnsi="Times New Roman" w:eastAsia="新宋体" w:cs="Times New Roman"/>
          <w:kern w:val="2"/>
          <w:sz w:val="21"/>
          <w:szCs w:val="21"/>
          <w:lang w:eastAsia="zh-CN"/>
        </w:rPr>
        <w:t>、</w:t>
      </w:r>
      <w:r>
        <w:rPr>
          <w:rFonts w:hint="default" w:ascii="Times New Roman" w:hAnsi="Times New Roman" w:eastAsia="新宋体" w:cs="Times New Roman"/>
          <w:kern w:val="2"/>
          <w:sz w:val="21"/>
          <w:szCs w:val="21"/>
        </w:rPr>
        <w:t>国际商务环境</w:t>
      </w:r>
      <w:r>
        <w:rPr>
          <w:rFonts w:hint="default" w:ascii="Times New Roman" w:hAnsi="Times New Roman" w:eastAsia="新宋体" w:cs="Times New Roman"/>
          <w:kern w:val="2"/>
          <w:sz w:val="21"/>
          <w:szCs w:val="21"/>
          <w:lang w:val="en-US" w:eastAsia="zh-CN"/>
        </w:rPr>
        <w:t>与运营</w:t>
      </w:r>
      <w:r>
        <w:rPr>
          <w:rFonts w:hint="default" w:ascii="Times New Roman" w:hAnsi="Times New Roman" w:eastAsia="新宋体" w:cs="Times New Roman"/>
          <w:kern w:val="2"/>
          <w:sz w:val="21"/>
          <w:szCs w:val="21"/>
        </w:rPr>
        <w:t>四个部分。</w:t>
      </w:r>
    </w:p>
    <w:p w14:paraId="768D17A0">
      <w:pPr>
        <w:pStyle w:val="12"/>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（一）国际贸易理论与政策</w:t>
      </w:r>
    </w:p>
    <w:p w14:paraId="2C01982C">
      <w:pPr>
        <w:pStyle w:val="12"/>
        <w:rPr>
          <w:rFonts w:hint="default" w:ascii="Times New Roman" w:hAnsi="Times New Roman" w:eastAsia="新宋体" w:cs="Times New Roman"/>
          <w:sz w:val="21"/>
          <w:szCs w:val="21"/>
          <w:lang w:eastAsia="zh-CN"/>
        </w:rPr>
      </w:pPr>
      <w:r>
        <w:rPr>
          <w:rFonts w:hint="default" w:ascii="Times New Roman" w:hAnsi="Times New Roman" w:eastAsia="新宋体" w:cs="Times New Roman"/>
          <w:sz w:val="21"/>
          <w:szCs w:val="21"/>
        </w:rPr>
        <w:t>1.国际贸易理论：绝对优势与比较优势理论、要素禀赋理论、贸易保护理论、国际贸易新理论、国家竞争优势</w:t>
      </w:r>
      <w:r>
        <w:rPr>
          <w:rFonts w:hint="default" w:ascii="Times New Roman" w:hAnsi="Times New Roman" w:eastAsia="新宋体" w:cs="Times New Roman"/>
          <w:sz w:val="21"/>
          <w:szCs w:val="21"/>
          <w:lang w:eastAsia="zh-CN"/>
        </w:rPr>
        <w:t>。</w:t>
      </w:r>
    </w:p>
    <w:p w14:paraId="7991AC13">
      <w:pPr>
        <w:pStyle w:val="12"/>
        <w:rPr>
          <w:rFonts w:hint="default" w:ascii="Times New Roman" w:hAnsi="Times New Roman" w:eastAsia="新宋体" w:cs="Times New Roman"/>
          <w:sz w:val="21"/>
          <w:szCs w:val="21"/>
          <w:lang w:eastAsia="zh-CN"/>
        </w:rPr>
      </w:pPr>
      <w:r>
        <w:rPr>
          <w:rFonts w:hint="default" w:ascii="Times New Roman" w:hAnsi="Times New Roman" w:eastAsia="新宋体" w:cs="Times New Roman"/>
          <w:sz w:val="21"/>
          <w:szCs w:val="21"/>
        </w:rPr>
        <w:t>2.国际贸易政策与壁垒：关税措施、非关税壁垒、国际贸易摩擦、国际贸易中的知识产权保护与环境保护政策</w:t>
      </w:r>
      <w:r>
        <w:rPr>
          <w:rFonts w:hint="default" w:ascii="Times New Roman" w:hAnsi="Times New Roman" w:eastAsia="新宋体" w:cs="Times New Roman"/>
          <w:sz w:val="21"/>
          <w:szCs w:val="21"/>
          <w:lang w:eastAsia="zh-CN"/>
        </w:rPr>
        <w:t>。</w:t>
      </w:r>
    </w:p>
    <w:p w14:paraId="7DD56F87">
      <w:pPr>
        <w:pStyle w:val="12"/>
        <w:rPr>
          <w:rFonts w:hint="default" w:ascii="Times New Roman" w:hAnsi="Times New Roman" w:eastAsia="新宋体" w:cs="Times New Roman"/>
          <w:sz w:val="21"/>
          <w:szCs w:val="21"/>
          <w:lang w:eastAsia="zh-CN"/>
        </w:rPr>
      </w:pPr>
      <w:r>
        <w:rPr>
          <w:rFonts w:hint="default" w:ascii="Times New Roman" w:hAnsi="Times New Roman" w:eastAsia="新宋体" w:cs="Times New Roman"/>
          <w:sz w:val="21"/>
          <w:szCs w:val="21"/>
        </w:rPr>
        <w:t>3.区域经济一体化与多边贸易体制：经济全球化与世界贸易组织、欧洲一体化实践、其他区域自由贸易安排、中国的区域经济合作实践</w:t>
      </w:r>
      <w:r>
        <w:rPr>
          <w:rFonts w:hint="default" w:ascii="Times New Roman" w:hAnsi="Times New Roman" w:eastAsia="新宋体" w:cs="Times New Roman"/>
          <w:sz w:val="21"/>
          <w:szCs w:val="21"/>
          <w:lang w:eastAsia="zh-CN"/>
        </w:rPr>
        <w:t>。</w:t>
      </w:r>
    </w:p>
    <w:p w14:paraId="0FB69BE6">
      <w:pPr>
        <w:pStyle w:val="12"/>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（二）国际直接投资与跨国公司</w:t>
      </w:r>
    </w:p>
    <w:p w14:paraId="08FD018A">
      <w:pPr>
        <w:pStyle w:val="12"/>
        <w:rPr>
          <w:rFonts w:hint="default" w:ascii="Times New Roman" w:hAnsi="Times New Roman" w:eastAsia="新宋体" w:cs="Times New Roman"/>
          <w:sz w:val="21"/>
          <w:szCs w:val="21"/>
          <w:lang w:eastAsia="zh-CN"/>
        </w:rPr>
      </w:pPr>
      <w:r>
        <w:rPr>
          <w:rFonts w:hint="default" w:ascii="Times New Roman" w:hAnsi="Times New Roman" w:eastAsia="新宋体" w:cs="Times New Roman"/>
          <w:sz w:val="21"/>
          <w:szCs w:val="21"/>
        </w:rPr>
        <w:t>1.国际直接投资与跨国公司理论：垄断优势理论、内部化理论、国际生产折衷理论、对外投资其他理论，跨国公司与国际直接投资理论，中国式跨国公司的理论与实践</w:t>
      </w:r>
      <w:r>
        <w:rPr>
          <w:rFonts w:hint="default" w:ascii="Times New Roman" w:hAnsi="Times New Roman" w:eastAsia="新宋体" w:cs="Times New Roman"/>
          <w:sz w:val="21"/>
          <w:szCs w:val="21"/>
          <w:lang w:eastAsia="zh-CN"/>
        </w:rPr>
        <w:t>。</w:t>
      </w:r>
    </w:p>
    <w:p w14:paraId="61F0B70E">
      <w:pPr>
        <w:pStyle w:val="12"/>
        <w:rPr>
          <w:rFonts w:hint="default" w:ascii="Times New Roman" w:hAnsi="Times New Roman" w:eastAsia="新宋体" w:cs="Times New Roman"/>
          <w:sz w:val="21"/>
          <w:szCs w:val="21"/>
          <w:lang w:eastAsia="zh-CN"/>
        </w:rPr>
      </w:pPr>
      <w:r>
        <w:rPr>
          <w:rFonts w:hint="default" w:ascii="Times New Roman" w:hAnsi="Times New Roman" w:eastAsia="新宋体" w:cs="Times New Roman"/>
          <w:sz w:val="21"/>
          <w:szCs w:val="21"/>
        </w:rPr>
        <w:t>2.对外直接投资的母国与东道国效应：对外直接投资与母国利益和代价、对外直接投资与东道国效应、对外直接投资中的政府行为、国际企业与政府的议价能力</w:t>
      </w:r>
      <w:r>
        <w:rPr>
          <w:rFonts w:hint="default" w:ascii="Times New Roman" w:hAnsi="Times New Roman" w:eastAsia="新宋体" w:cs="Times New Roman"/>
          <w:sz w:val="21"/>
          <w:szCs w:val="21"/>
          <w:lang w:eastAsia="zh-CN"/>
        </w:rPr>
        <w:t>。</w:t>
      </w:r>
    </w:p>
    <w:p w14:paraId="3703BB13">
      <w:pPr>
        <w:pStyle w:val="12"/>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（三）国际金融</w:t>
      </w:r>
    </w:p>
    <w:p w14:paraId="15FCF253">
      <w:pPr>
        <w:pStyle w:val="12"/>
        <w:rPr>
          <w:rFonts w:hint="eastAsia" w:ascii="Times New Roman" w:hAnsi="Times New Roman" w:eastAsia="新宋体" w:cs="Times New Roman"/>
          <w:sz w:val="21"/>
          <w:szCs w:val="21"/>
          <w:lang w:eastAsia="zh-CN"/>
        </w:rPr>
      </w:pPr>
      <w:r>
        <w:rPr>
          <w:rFonts w:hint="default" w:ascii="Times New Roman" w:hAnsi="Times New Roman" w:eastAsia="新宋体" w:cs="Times New Roman"/>
          <w:sz w:val="21"/>
          <w:szCs w:val="21"/>
        </w:rPr>
        <w:t>1.国际货币体系与汇率制度：金本位制度、布雷顿森林体系、浮动汇率制度、国际货币体系及其改革、人民币汇率改革</w:t>
      </w:r>
      <w:r>
        <w:rPr>
          <w:rFonts w:hint="eastAsia" w:ascii="Times New Roman" w:hAnsi="Times New Roman" w:eastAsia="新宋体" w:cs="Times New Roman"/>
          <w:sz w:val="21"/>
          <w:szCs w:val="21"/>
          <w:lang w:eastAsia="zh-CN"/>
        </w:rPr>
        <w:t>。</w:t>
      </w:r>
    </w:p>
    <w:p w14:paraId="0CCCC6E9">
      <w:pPr>
        <w:pStyle w:val="12"/>
        <w:rPr>
          <w:rFonts w:hint="eastAsia" w:ascii="Times New Roman" w:hAnsi="Times New Roman" w:eastAsia="新宋体" w:cs="Times New Roman"/>
          <w:sz w:val="21"/>
          <w:szCs w:val="21"/>
          <w:lang w:eastAsia="zh-CN"/>
        </w:rPr>
      </w:pPr>
      <w:r>
        <w:rPr>
          <w:rFonts w:hint="default" w:ascii="Times New Roman" w:hAnsi="Times New Roman" w:eastAsia="新宋体" w:cs="Times New Roman"/>
          <w:sz w:val="21"/>
          <w:szCs w:val="21"/>
        </w:rPr>
        <w:t>2.外汇市场、外汇业务与风险、外汇市场与外汇业务、汇率决定、外汇风险</w:t>
      </w:r>
      <w:r>
        <w:rPr>
          <w:rFonts w:hint="eastAsia" w:ascii="Times New Roman" w:hAnsi="Times New Roman" w:eastAsia="新宋体" w:cs="Times New Roman"/>
          <w:sz w:val="21"/>
          <w:szCs w:val="21"/>
          <w:lang w:eastAsia="zh-CN"/>
        </w:rPr>
        <w:t>。</w:t>
      </w:r>
    </w:p>
    <w:p w14:paraId="59296A95">
      <w:pPr>
        <w:pStyle w:val="12"/>
        <w:rPr>
          <w:rFonts w:hint="default" w:ascii="Times New Roman" w:hAnsi="Times New Roman" w:eastAsia="新宋体" w:cs="Times New Roman"/>
          <w:sz w:val="21"/>
          <w:szCs w:val="21"/>
          <w:lang w:eastAsia="zh-CN"/>
        </w:rPr>
      </w:pPr>
      <w:r>
        <w:rPr>
          <w:rFonts w:hint="default" w:ascii="Times New Roman" w:hAnsi="Times New Roman" w:eastAsia="新宋体" w:cs="Times New Roman"/>
          <w:sz w:val="21"/>
          <w:szCs w:val="21"/>
        </w:rPr>
        <w:t>3.国际金融市场：国际金融市场概述、货币市场、债权市场、股权市场</w:t>
      </w:r>
      <w:r>
        <w:rPr>
          <w:rFonts w:hint="default" w:ascii="Times New Roman" w:hAnsi="Times New Roman" w:eastAsia="新宋体" w:cs="Times New Roman"/>
          <w:sz w:val="21"/>
          <w:szCs w:val="21"/>
          <w:lang w:eastAsia="zh-CN"/>
        </w:rPr>
        <w:t>。</w:t>
      </w:r>
    </w:p>
    <w:p w14:paraId="67016D0E">
      <w:pPr>
        <w:pStyle w:val="12"/>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（四）国际商务环境与运营</w:t>
      </w:r>
    </w:p>
    <w:p w14:paraId="0D9A7AAA">
      <w:pPr>
        <w:pStyle w:val="12"/>
        <w:rPr>
          <w:rFonts w:hint="default" w:ascii="Times New Roman" w:hAnsi="Times New Roman" w:eastAsia="新宋体" w:cs="Times New Roman"/>
          <w:sz w:val="21"/>
          <w:szCs w:val="21"/>
          <w:lang w:eastAsia="zh-CN"/>
        </w:rPr>
      </w:pPr>
      <w:r>
        <w:rPr>
          <w:rFonts w:hint="default" w:ascii="Times New Roman" w:hAnsi="Times New Roman" w:eastAsia="新宋体" w:cs="Times New Roman"/>
          <w:sz w:val="21"/>
          <w:szCs w:val="21"/>
        </w:rPr>
        <w:t>1.国际商务环境：经济环境、政治环境、法律环境、社会文化环境、国际商务环境评估</w:t>
      </w:r>
      <w:r>
        <w:rPr>
          <w:rFonts w:hint="default" w:ascii="Times New Roman" w:hAnsi="Times New Roman" w:eastAsia="新宋体" w:cs="Times New Roman"/>
          <w:sz w:val="21"/>
          <w:szCs w:val="21"/>
          <w:lang w:eastAsia="zh-CN"/>
        </w:rPr>
        <w:t>。</w:t>
      </w:r>
    </w:p>
    <w:p w14:paraId="197AFDF8">
      <w:pPr>
        <w:pStyle w:val="12"/>
        <w:rPr>
          <w:rFonts w:hint="default" w:ascii="Times New Roman" w:hAnsi="Times New Roman" w:eastAsia="新宋体" w:cs="Times New Roman"/>
          <w:sz w:val="21"/>
          <w:szCs w:val="21"/>
          <w:lang w:eastAsia="zh-CN"/>
        </w:rPr>
      </w:pPr>
      <w:r>
        <w:rPr>
          <w:rFonts w:hint="default" w:ascii="Times New Roman" w:hAnsi="Times New Roman" w:eastAsia="新宋体" w:cs="Times New Roman"/>
          <w:sz w:val="21"/>
          <w:szCs w:val="21"/>
        </w:rPr>
        <w:t>2.国际商务进入策略：国际经营的选址决策，国际经营的时机决策，出口、交钥匙工程、技术授权、特许经营、对外直接投资，战略联盟，国际经营方式的选择</w:t>
      </w:r>
      <w:r>
        <w:rPr>
          <w:rFonts w:hint="default" w:ascii="Times New Roman" w:hAnsi="Times New Roman" w:eastAsia="新宋体" w:cs="Times New Roman"/>
          <w:sz w:val="21"/>
          <w:szCs w:val="21"/>
          <w:lang w:eastAsia="zh-CN"/>
        </w:rPr>
        <w:t>。</w:t>
      </w:r>
    </w:p>
    <w:p w14:paraId="163FBA5F">
      <w:pPr>
        <w:pStyle w:val="12"/>
        <w:rPr>
          <w:rFonts w:hint="default" w:ascii="Times New Roman" w:hAnsi="Times New Roman" w:eastAsia="新宋体" w:cs="Times New Roman"/>
          <w:sz w:val="21"/>
          <w:szCs w:val="21"/>
          <w:lang w:eastAsia="zh-CN"/>
        </w:rPr>
      </w:pPr>
      <w:r>
        <w:rPr>
          <w:rFonts w:hint="default" w:ascii="Times New Roman" w:hAnsi="Times New Roman" w:eastAsia="新宋体" w:cs="Times New Roman"/>
          <w:sz w:val="21"/>
          <w:szCs w:val="21"/>
        </w:rPr>
        <w:t>3.跨国公司战略与组织：企业利用全球扩张提高盈利能力以及利润增长的方式，战略选择与战略演化，组织结构的基本类型，国际商务组织结构的选择，国际企业的控制、组织文化，战略与组织构架</w:t>
      </w:r>
      <w:r>
        <w:rPr>
          <w:rFonts w:hint="default" w:ascii="Times New Roman" w:hAnsi="Times New Roman" w:eastAsia="新宋体" w:cs="Times New Roman"/>
          <w:sz w:val="21"/>
          <w:szCs w:val="21"/>
          <w:lang w:eastAsia="zh-CN"/>
        </w:rPr>
        <w:t>。</w:t>
      </w:r>
    </w:p>
    <w:p w14:paraId="18BA2838">
      <w:pPr>
        <w:pStyle w:val="12"/>
        <w:rPr>
          <w:rFonts w:hint="default" w:ascii="Times New Roman" w:hAnsi="Times New Roman" w:eastAsia="新宋体" w:cs="Times New Roman"/>
          <w:kern w:val="2"/>
          <w:sz w:val="21"/>
          <w:szCs w:val="21"/>
        </w:rPr>
      </w:pPr>
      <w:r>
        <w:rPr>
          <w:rFonts w:hint="default" w:ascii="Times New Roman" w:hAnsi="Times New Roman" w:eastAsia="新宋体" w:cs="Times New Roman"/>
          <w:sz w:val="21"/>
          <w:szCs w:val="21"/>
        </w:rPr>
        <w:t>4.国际经营管理：国际市场营销管理，国际财务管理，国际人力资源管理</w:t>
      </w:r>
      <w:r>
        <w:rPr>
          <w:rFonts w:hint="default" w:ascii="Times New Roman" w:hAnsi="Times New Roman" w:eastAsia="新宋体" w:cs="Times New Roman"/>
          <w:sz w:val="21"/>
          <w:szCs w:val="21"/>
          <w:lang w:eastAsia="zh-CN"/>
        </w:rPr>
        <w:t>。</w:t>
      </w:r>
    </w:p>
    <w:p w14:paraId="0D231280">
      <w:pPr>
        <w:rPr>
          <w:rFonts w:hint="default" w:ascii="Times New Roman" w:hAnsi="Times New Roman" w:cs="Times New Roman"/>
          <w:b/>
          <w:sz w:val="21"/>
          <w:szCs w:val="21"/>
        </w:rPr>
      </w:pPr>
    </w:p>
    <w:p w14:paraId="0DB6BAA2">
      <w:pPr>
        <w:rPr>
          <w:rFonts w:hint="default" w:ascii="Times New Roman" w:hAnsi="Times New Roman" w:cs="Times New Roman"/>
          <w:sz w:val="21"/>
          <w:szCs w:val="21"/>
        </w:rPr>
      </w:pPr>
      <w:r>
        <w:rPr>
          <w:rFonts w:hint="default" w:ascii="Times New Roman" w:hAnsi="Times New Roman" w:cs="Times New Roman"/>
          <w:b/>
          <w:sz w:val="21"/>
          <w:szCs w:val="21"/>
        </w:rPr>
        <w:t>参考教材或主要参考书</w:t>
      </w:r>
      <w:r>
        <w:rPr>
          <w:rFonts w:hint="default" w:ascii="Times New Roman" w:hAnsi="Times New Roman" w:cs="Times New Roman"/>
          <w:sz w:val="21"/>
          <w:szCs w:val="21"/>
        </w:rPr>
        <w:t>：</w:t>
      </w:r>
    </w:p>
    <w:p w14:paraId="18EE3EA6">
      <w:pPr>
        <w:pStyle w:val="12"/>
        <w:ind w:firstLine="440"/>
        <w:rPr>
          <w:rFonts w:hint="default" w:ascii="Times New Roman" w:hAnsi="Times New Roman" w:eastAsia="新宋体" w:cs="Times New Roman"/>
          <w:kern w:val="2"/>
          <w:sz w:val="21"/>
          <w:szCs w:val="21"/>
          <w:lang w:val="en-US" w:eastAsia="zh-CN" w:bidi="ar-SA"/>
        </w:rPr>
      </w:pPr>
      <w:r>
        <w:rPr>
          <w:rFonts w:hint="default" w:ascii="Times New Roman" w:hAnsi="Times New Roman" w:eastAsia="新宋体" w:cs="Times New Roman"/>
          <w:kern w:val="2"/>
          <w:sz w:val="21"/>
          <w:szCs w:val="21"/>
          <w:lang w:val="en-US" w:eastAsia="zh-CN" w:bidi="ar-SA"/>
        </w:rPr>
        <w:t>1.《国际商务》</w:t>
      </w:r>
      <w:r>
        <w:rPr>
          <w:rFonts w:hint="eastAsia" w:ascii="Times New Roman" w:hAnsi="Times New Roman" w:eastAsia="新宋体" w:cs="Times New Roman"/>
          <w:kern w:val="2"/>
          <w:sz w:val="21"/>
          <w:szCs w:val="21"/>
          <w:lang w:val="en-US" w:eastAsia="zh-CN" w:bidi="ar-SA"/>
        </w:rPr>
        <w:t>（</w:t>
      </w:r>
      <w:r>
        <w:rPr>
          <w:rFonts w:hint="default" w:ascii="Times New Roman" w:hAnsi="Times New Roman" w:eastAsia="新宋体" w:cs="Times New Roman"/>
          <w:kern w:val="2"/>
          <w:sz w:val="21"/>
          <w:szCs w:val="21"/>
          <w:lang w:val="en-US" w:eastAsia="zh-CN" w:bidi="ar-SA"/>
        </w:rPr>
        <w:t>第 1</w:t>
      </w:r>
      <w:r>
        <w:rPr>
          <w:rFonts w:hint="eastAsia" w:ascii="Times New Roman" w:hAnsi="Times New Roman" w:eastAsia="新宋体" w:cs="Times New Roman"/>
          <w:kern w:val="2"/>
          <w:sz w:val="21"/>
          <w:szCs w:val="21"/>
          <w:lang w:val="en-US" w:eastAsia="zh-CN" w:bidi="ar-SA"/>
        </w:rPr>
        <w:t>3</w:t>
      </w:r>
      <w:r>
        <w:rPr>
          <w:rFonts w:hint="default" w:ascii="Times New Roman" w:hAnsi="Times New Roman" w:eastAsia="新宋体" w:cs="Times New Roman"/>
          <w:kern w:val="2"/>
          <w:sz w:val="21"/>
          <w:szCs w:val="21"/>
          <w:lang w:val="en-US" w:eastAsia="zh-CN" w:bidi="ar-SA"/>
        </w:rPr>
        <w:t>版</w:t>
      </w:r>
      <w:r>
        <w:rPr>
          <w:rFonts w:hint="eastAsia" w:ascii="Times New Roman" w:hAnsi="Times New Roman" w:eastAsia="新宋体" w:cs="Times New Roman"/>
          <w:kern w:val="2"/>
          <w:sz w:val="21"/>
          <w:szCs w:val="21"/>
          <w:lang w:val="en-US" w:eastAsia="zh-CN" w:bidi="ar-SA"/>
        </w:rPr>
        <w:t>），</w:t>
      </w:r>
      <w:r>
        <w:rPr>
          <w:rFonts w:hint="default" w:ascii="Times New Roman" w:hAnsi="Times New Roman" w:eastAsia="新宋体" w:cs="Times New Roman"/>
          <w:kern w:val="2"/>
          <w:sz w:val="21"/>
          <w:szCs w:val="21"/>
          <w:lang w:val="en-US" w:eastAsia="zh-CN" w:bidi="ar-SA"/>
        </w:rPr>
        <w:t xml:space="preserve"> </w:t>
      </w:r>
      <w:r>
        <w:rPr>
          <w:rFonts w:hint="eastAsia" w:ascii="Times New Roman" w:hAnsi="Times New Roman" w:eastAsia="新宋体" w:cs="Times New Roman"/>
          <w:kern w:val="2"/>
          <w:sz w:val="21"/>
          <w:szCs w:val="21"/>
          <w:lang w:val="en-US" w:eastAsia="zh-CN" w:bidi="ar-SA"/>
        </w:rPr>
        <w:t>（</w:t>
      </w:r>
      <w:r>
        <w:rPr>
          <w:rFonts w:hint="default" w:ascii="Times New Roman" w:hAnsi="Times New Roman" w:eastAsia="新宋体" w:cs="Times New Roman"/>
          <w:kern w:val="2"/>
          <w:sz w:val="21"/>
          <w:szCs w:val="21"/>
          <w:lang w:val="en-US" w:eastAsia="zh-CN" w:bidi="ar-SA"/>
        </w:rPr>
        <w:t>美</w:t>
      </w:r>
      <w:r>
        <w:rPr>
          <w:rFonts w:hint="eastAsia" w:ascii="Times New Roman" w:hAnsi="Times New Roman" w:eastAsia="新宋体" w:cs="Times New Roman"/>
          <w:kern w:val="2"/>
          <w:sz w:val="21"/>
          <w:szCs w:val="21"/>
          <w:lang w:val="en-US" w:eastAsia="zh-CN" w:bidi="ar-SA"/>
        </w:rPr>
        <w:t>）</w:t>
      </w:r>
      <w:r>
        <w:rPr>
          <w:rFonts w:hint="default" w:ascii="Times New Roman" w:hAnsi="Times New Roman" w:eastAsia="新宋体" w:cs="Times New Roman"/>
          <w:kern w:val="2"/>
          <w:sz w:val="21"/>
          <w:szCs w:val="21"/>
          <w:lang w:val="en-US" w:eastAsia="zh-CN" w:bidi="ar-SA"/>
        </w:rPr>
        <w:t xml:space="preserve"> 查尔斯·希尔</w:t>
      </w:r>
      <w:r>
        <w:rPr>
          <w:rFonts w:hint="eastAsia" w:ascii="Times New Roman" w:hAnsi="Times New Roman" w:eastAsia="新宋体" w:cs="Times New Roman"/>
          <w:kern w:val="2"/>
          <w:sz w:val="21"/>
          <w:szCs w:val="21"/>
          <w:lang w:val="en-US" w:eastAsia="zh-CN" w:bidi="ar-SA"/>
        </w:rPr>
        <w:t>（</w:t>
      </w:r>
      <w:r>
        <w:rPr>
          <w:rFonts w:hint="default" w:ascii="Times New Roman" w:hAnsi="Times New Roman" w:eastAsia="新宋体" w:cs="Times New Roman"/>
          <w:kern w:val="2"/>
          <w:sz w:val="21"/>
          <w:szCs w:val="21"/>
          <w:lang w:val="en-US" w:eastAsia="zh-CN" w:bidi="ar-SA"/>
        </w:rPr>
        <w:t>Charles w.L.Hl1</w:t>
      </w:r>
      <w:r>
        <w:rPr>
          <w:rFonts w:hint="eastAsia" w:ascii="Times New Roman" w:hAnsi="Times New Roman" w:eastAsia="新宋体" w:cs="Times New Roman"/>
          <w:kern w:val="2"/>
          <w:sz w:val="21"/>
          <w:szCs w:val="21"/>
          <w:lang w:val="en-US" w:eastAsia="zh-CN" w:bidi="ar-SA"/>
        </w:rPr>
        <w:t>）</w:t>
      </w:r>
      <w:r>
        <w:rPr>
          <w:rFonts w:hint="default" w:ascii="Times New Roman" w:hAnsi="Times New Roman" w:eastAsia="新宋体" w:cs="Times New Roman"/>
          <w:kern w:val="2"/>
          <w:sz w:val="21"/>
          <w:szCs w:val="21"/>
          <w:lang w:val="en-US" w:eastAsia="zh-CN" w:bidi="ar-SA"/>
        </w:rPr>
        <w:t>著，</w:t>
      </w:r>
      <w:r>
        <w:rPr>
          <w:rFonts w:hint="eastAsia" w:ascii="Times New Roman" w:hAnsi="Times New Roman" w:eastAsia="新宋体" w:cs="Times New Roman"/>
          <w:kern w:val="2"/>
          <w:sz w:val="21"/>
          <w:szCs w:val="21"/>
          <w:lang w:val="en-US" w:eastAsia="zh-CN" w:bidi="ar-SA"/>
        </w:rPr>
        <w:t>杜颖</w:t>
      </w:r>
      <w:r>
        <w:rPr>
          <w:rFonts w:hint="default" w:ascii="Times New Roman" w:hAnsi="Times New Roman" w:eastAsia="新宋体" w:cs="Times New Roman"/>
          <w:kern w:val="2"/>
          <w:sz w:val="21"/>
          <w:szCs w:val="21"/>
          <w:lang w:val="en-US" w:eastAsia="zh-CN" w:bidi="ar-SA"/>
        </w:rPr>
        <w:t>译 ，中国人民大学出版社 20</w:t>
      </w:r>
      <w:r>
        <w:rPr>
          <w:rFonts w:hint="eastAsia" w:ascii="Times New Roman" w:hAnsi="Times New Roman" w:eastAsia="新宋体" w:cs="Times New Roman"/>
          <w:kern w:val="2"/>
          <w:sz w:val="21"/>
          <w:szCs w:val="21"/>
          <w:lang w:val="en-US" w:eastAsia="zh-CN" w:bidi="ar-SA"/>
        </w:rPr>
        <w:t>24</w:t>
      </w:r>
      <w:r>
        <w:rPr>
          <w:rFonts w:hint="default" w:ascii="Times New Roman" w:hAnsi="Times New Roman" w:eastAsia="新宋体" w:cs="Times New Roman"/>
          <w:kern w:val="2"/>
          <w:sz w:val="21"/>
          <w:szCs w:val="21"/>
          <w:lang w:val="en-US" w:eastAsia="zh-CN" w:bidi="ar-SA"/>
        </w:rPr>
        <w:t xml:space="preserve"> 年版；</w:t>
      </w:r>
      <w:bookmarkStart w:id="0" w:name="_GoBack"/>
      <w:bookmarkEnd w:id="0"/>
    </w:p>
    <w:p w14:paraId="22B8FC88">
      <w:pPr>
        <w:pStyle w:val="12"/>
        <w:ind w:firstLine="440"/>
        <w:rPr>
          <w:rFonts w:hint="default" w:ascii="Times New Roman" w:hAnsi="Times New Roman" w:eastAsia="新宋体" w:cs="Times New Roman"/>
          <w:kern w:val="2"/>
          <w:sz w:val="21"/>
          <w:szCs w:val="21"/>
          <w:lang w:val="en-US" w:eastAsia="zh-CN" w:bidi="ar-SA"/>
        </w:rPr>
      </w:pPr>
      <w:r>
        <w:rPr>
          <w:rFonts w:hint="default" w:ascii="Times New Roman" w:hAnsi="Times New Roman" w:eastAsia="新宋体" w:cs="Times New Roman"/>
          <w:kern w:val="2"/>
          <w:sz w:val="21"/>
          <w:szCs w:val="21"/>
          <w:lang w:val="en-US" w:eastAsia="zh-CN" w:bidi="ar-SA"/>
        </w:rPr>
        <w:t>2.《国际商务》（第五版），王炜瀚，中国人民大学出版社，2023年5月版。</w:t>
      </w:r>
    </w:p>
    <w:p w14:paraId="650B6BC1">
      <w:pPr>
        <w:rPr>
          <w:rFonts w:hint="default" w:ascii="Times New Roman" w:hAnsi="Times New Roman" w:cs="Times New Roman"/>
          <w:b/>
          <w:szCs w:val="21"/>
        </w:rPr>
      </w:pPr>
      <w:r>
        <w:rPr>
          <w:rFonts w:hint="default" w:ascii="Times New Roman" w:hAnsi="Times New Roman" w:cs="Times New Roman"/>
          <w:b/>
          <w:szCs w:val="21"/>
        </w:rPr>
        <w:t>四、样卷</w:t>
      </w:r>
    </w:p>
    <w:p w14:paraId="16BD9344">
      <w:pP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无</w:t>
      </w:r>
    </w:p>
    <w:sectPr>
      <w:pgSz w:w="11906" w:h="16838"/>
      <w:pgMar w:top="1440" w:right="1797" w:bottom="1440" w:left="1797" w:header="851" w:footer="992" w:gutter="0"/>
      <w:cols w:space="708"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bordersDoNotSurroundHeader w:val="1"/>
  <w:bordersDoNotSurroundFooter w:val="1"/>
  <w:documentProtection w:enforcement="0"/>
  <w:defaultTabStop w:val="720"/>
  <w:drawingGridHorizontalSpacing w:val="120"/>
  <w:drawingGridVerticalSpacing w:val="163"/>
  <w:displayHorizontalDrawingGridEvery w:val="0"/>
  <w:displayVerticalDrawingGridEvery w:val="2"/>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Y4MTYwZDAyM2M2YjhlODViMzM4NDQ5YWM3YzhlY2YifQ=="/>
  </w:docVars>
  <w:rsids>
    <w:rsidRoot w:val="004E50F4"/>
    <w:rsid w:val="000217A0"/>
    <w:rsid w:val="00085599"/>
    <w:rsid w:val="000A3F93"/>
    <w:rsid w:val="001A21E3"/>
    <w:rsid w:val="001B76A7"/>
    <w:rsid w:val="002460F0"/>
    <w:rsid w:val="002838F2"/>
    <w:rsid w:val="00296624"/>
    <w:rsid w:val="002F50AB"/>
    <w:rsid w:val="0035557B"/>
    <w:rsid w:val="0039230A"/>
    <w:rsid w:val="003C6F62"/>
    <w:rsid w:val="003D0507"/>
    <w:rsid w:val="00402A0E"/>
    <w:rsid w:val="004139B0"/>
    <w:rsid w:val="00425A24"/>
    <w:rsid w:val="004E50F4"/>
    <w:rsid w:val="004E56FF"/>
    <w:rsid w:val="0055046D"/>
    <w:rsid w:val="005B0EC8"/>
    <w:rsid w:val="005D6D4D"/>
    <w:rsid w:val="00601653"/>
    <w:rsid w:val="00602E1D"/>
    <w:rsid w:val="00606C3D"/>
    <w:rsid w:val="006244AD"/>
    <w:rsid w:val="00666FFA"/>
    <w:rsid w:val="006D5032"/>
    <w:rsid w:val="006D7DDD"/>
    <w:rsid w:val="00713BF3"/>
    <w:rsid w:val="00816383"/>
    <w:rsid w:val="008A4B1A"/>
    <w:rsid w:val="008B5D69"/>
    <w:rsid w:val="008E56C9"/>
    <w:rsid w:val="00912F6B"/>
    <w:rsid w:val="00AE551D"/>
    <w:rsid w:val="00B407E2"/>
    <w:rsid w:val="00B5746A"/>
    <w:rsid w:val="00B733FE"/>
    <w:rsid w:val="00BA563C"/>
    <w:rsid w:val="00BD03F9"/>
    <w:rsid w:val="00C3497D"/>
    <w:rsid w:val="00C75BCD"/>
    <w:rsid w:val="00CB4953"/>
    <w:rsid w:val="00DB0838"/>
    <w:rsid w:val="00F7557D"/>
    <w:rsid w:val="00F93E4E"/>
    <w:rsid w:val="1BC94BCA"/>
    <w:rsid w:val="31C46BC5"/>
    <w:rsid w:val="44894B1A"/>
    <w:rsid w:val="50FA223A"/>
    <w:rsid w:val="5B025DBC"/>
    <w:rsid w:val="63377CC9"/>
    <w:rsid w:val="721D6FAF"/>
    <w:rsid w:val="7E11248C"/>
    <w:rsid w:val="7EE51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paragraph" w:styleId="2">
    <w:name w:val="heading 1"/>
    <w:basedOn w:val="1"/>
    <w:next w:val="1"/>
    <w:link w:val="14"/>
    <w:qFormat/>
    <w:uiPriority w:val="0"/>
    <w:pPr>
      <w:keepNext/>
      <w:keepLines/>
      <w:widowControl w:val="0"/>
      <w:spacing w:before="340" w:after="330" w:line="578" w:lineRule="auto"/>
      <w:jc w:val="both"/>
      <w:outlineLvl w:val="0"/>
    </w:pPr>
    <w:rPr>
      <w:rFonts w:ascii="Times New Roman" w:hAnsi="Times New Roman" w:eastAsia="宋体" w:cs="Times New Roman"/>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0"/>
    <w:pPr>
      <w:spacing w:after="0" w:line="240" w:lineRule="auto"/>
    </w:pPr>
    <w:rPr>
      <w:sz w:val="18"/>
      <w:szCs w:val="18"/>
    </w:rPr>
  </w:style>
  <w:style w:type="paragraph" w:styleId="4">
    <w:name w:val="footer"/>
    <w:basedOn w:val="1"/>
    <w:link w:val="9"/>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批注框文本 字符"/>
    <w:basedOn w:val="7"/>
    <w:link w:val="3"/>
    <w:qFormat/>
    <w:uiPriority w:val="0"/>
    <w:rPr>
      <w:sz w:val="18"/>
      <w:szCs w:val="18"/>
    </w:rPr>
  </w:style>
  <w:style w:type="paragraph" w:customStyle="1" w:styleId="11">
    <w:name w:val="_Style 10"/>
    <w:basedOn w:val="1"/>
    <w:next w:val="12"/>
    <w:qFormat/>
    <w:uiPriority w:val="0"/>
    <w:pPr>
      <w:widowControl w:val="0"/>
      <w:spacing w:after="0" w:line="240" w:lineRule="auto"/>
      <w:ind w:firstLine="420" w:firstLineChars="200"/>
      <w:jc w:val="both"/>
    </w:pPr>
    <w:rPr>
      <w:rFonts w:ascii="Times New Roman" w:hAnsi="Times New Roman" w:eastAsia="宋体" w:cs="Times New Roman"/>
      <w:kern w:val="2"/>
      <w:sz w:val="21"/>
      <w:szCs w:val="24"/>
    </w:rPr>
  </w:style>
  <w:style w:type="paragraph" w:styleId="12">
    <w:name w:val="List Paragraph"/>
    <w:basedOn w:val="1"/>
    <w:qFormat/>
    <w:uiPriority w:val="34"/>
    <w:pPr>
      <w:ind w:firstLine="420" w:firstLineChars="200"/>
    </w:pPr>
  </w:style>
  <w:style w:type="paragraph" w:customStyle="1" w:styleId="13">
    <w:name w:val="_Style 12"/>
    <w:basedOn w:val="1"/>
    <w:next w:val="12"/>
    <w:qFormat/>
    <w:uiPriority w:val="0"/>
    <w:pPr>
      <w:widowControl w:val="0"/>
      <w:spacing w:after="0" w:line="240" w:lineRule="auto"/>
      <w:ind w:firstLine="420" w:firstLineChars="200"/>
      <w:jc w:val="both"/>
    </w:pPr>
    <w:rPr>
      <w:rFonts w:ascii="Times New Roman" w:hAnsi="Times New Roman" w:eastAsia="宋体" w:cs="Times New Roman"/>
      <w:kern w:val="2"/>
      <w:sz w:val="21"/>
      <w:szCs w:val="24"/>
    </w:rPr>
  </w:style>
  <w:style w:type="character" w:customStyle="1" w:styleId="14">
    <w:name w:val="标题 1 字符"/>
    <w:basedOn w:val="7"/>
    <w:link w:val="2"/>
    <w:qFormat/>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1343</Words>
  <Characters>1395</Characters>
  <Lines>6</Lines>
  <Paragraphs>1</Paragraphs>
  <TotalTime>1</TotalTime>
  <ScaleCrop>false</ScaleCrop>
  <LinksUpToDate>false</LinksUpToDate>
  <CharactersWithSpaces>1408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2019-09-02T01:46:00Z</dcterms:created>
  <dc:creator>姜 恒昆</dc:creator>
  <cp:lastModifiedBy>HHH</cp:lastModifiedBy>
  <dcterms:modified xsi:type="dcterms:W3CDTF">2025-05-25T13:10:23Z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0C2E632B61FB4A66AF3A4BFDB32B7475</vt:lpwstr>
  </property>
  <property fmtid="{D5CDD505-2E9C-101B-9397-08002B2CF9AE}" pid="4" name="KSOTemplateDocerSaveRecord">
    <vt:lpwstr>eyJoZGlkIjoiNjViNDRkMDFlMzI5ZjI3MjliYmYxZDMxMWJiYjkyOWMiLCJ1c2VySWQiOiIzNTg2MDc2NjEifQ==</vt:lpwstr>
  </property>
</Properties>
</file>