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寻乌县2018年公开招聘县中等职业技术学校教师</w:t>
      </w:r>
      <w:r>
        <w:rPr>
          <w:rFonts w:hint="eastAsia" w:ascii="黑体" w:eastAsia="黑体"/>
          <w:sz w:val="32"/>
          <w:szCs w:val="32"/>
        </w:rPr>
        <w:t>岗位计划一览表</w:t>
      </w:r>
    </w:p>
    <w:bookmarkEnd w:id="0"/>
    <w:tbl>
      <w:tblPr>
        <w:tblStyle w:val="6"/>
        <w:tblpPr w:leftFromText="180" w:rightFromText="180" w:vertAnchor="text" w:horzAnchor="page" w:tblpX="1177" w:tblpY="627"/>
        <w:tblOverlap w:val="never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40"/>
        <w:gridCol w:w="740"/>
        <w:gridCol w:w="1047"/>
        <w:gridCol w:w="2914"/>
        <w:gridCol w:w="915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招聘岗位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6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专业（专业代码）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(周岁)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汉语言文学（050101）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具有相应学科高中教师资格证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数学类（0701）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具有相应学科高中教师资格证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 （050201）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具有相应学科高中教师资格证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美术学（130401）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具有相应学科高中教师资格证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教育学专业教师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教育学（040101）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具有相应学科高中教师资格证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心理学专业教师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心理学类（0711）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具有相应学科高中教师资格证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机械工程（080201）、机械设计制造及其自动化（080202）、机械电子工程（080204）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电气类（0806）、电子信息类（0807）、自动化类（0808）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车辆工程（080207）、汽车服务工程（080208）、汽车维修工程教育（080212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机械实训教师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中职以上学历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具有机械类技师技术等级且5年以上本专业工作经历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电工电子实训教师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中职以上学历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具有电工电子类技师技术等级且5年以上本专业工作经历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汽车实训教师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全日制大专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汽车制造类（5607）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计算机类（0809）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学前教育专业教师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学前教育（040106）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35以下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具有学前教育教师资格证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4203"/>
    <w:rsid w:val="65BF420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ahoma" w:hAnsi="Tahoma" w:eastAsia="仿宋_GB2312"/>
      <w:sz w:val="24"/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3"/>
    <w:basedOn w:val="1"/>
    <w:link w:val="3"/>
    <w:qFormat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2018-06-21T03:51:00Z</dcterms:created>
  <dc:creator>只为you守候</dc:creator>
  <cp:lastModifiedBy>只为you守候</cp:lastModifiedBy>
  <dcterms:modified xsi:type="dcterms:W3CDTF">2018-06-21T03:54:09Z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