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方正小标宋_GBK" w:eastAsia="方正小标宋_GBK"/>
          <w:snapToGrid w:val="0"/>
          <w:kern w:val="0"/>
          <w:sz w:val="36"/>
          <w:szCs w:val="36"/>
        </w:rPr>
      </w:pPr>
      <w:r>
        <w:rPr>
          <w:rFonts w:hint="eastAsia" w:ascii="方正小标宋_GBK" w:eastAsia="方正小标宋_GBK"/>
          <w:snapToGrid w:val="0"/>
          <w:kern w:val="0"/>
          <w:sz w:val="36"/>
          <w:szCs w:val="36"/>
        </w:rPr>
        <w:t>附件1:</w:t>
      </w:r>
    </w:p>
    <w:p>
      <w:pPr>
        <w:jc w:val="center"/>
        <w:rPr>
          <w:rFonts w:ascii="方正仿宋_GBK" w:hAnsi="方正仿宋_GBK" w:eastAsia="方正仿宋_GBK" w:cs="方正仿宋_GBK"/>
          <w:b/>
          <w:bCs w:val="0"/>
          <w:color w:val="auto"/>
          <w:sz w:val="36"/>
          <w:szCs w:val="36"/>
        </w:rPr>
      </w:pPr>
      <w:r>
        <w:rPr>
          <w:rFonts w:hint="eastAsia" w:eastAsia="方正仿宋_GBK"/>
          <w:b/>
          <w:bCs w:val="0"/>
          <w:snapToGrid w:val="0"/>
          <w:color w:val="auto"/>
          <w:kern w:val="0"/>
          <w:sz w:val="36"/>
          <w:szCs w:val="36"/>
        </w:rPr>
        <w:t>石柱县2018年考核招聘农村小学全科教师、学前教育免费师范生及教育部直属师范大学免费师范生为事业单位工作人员岗位一览表</w:t>
      </w:r>
    </w:p>
    <w:tbl>
      <w:tblPr>
        <w:tblStyle w:val="5"/>
        <w:tblW w:w="15957" w:type="dxa"/>
        <w:jc w:val="center"/>
        <w:tblInd w:w="0" w:type="dxa"/>
        <w:tblLayout w:type="fixed"/>
        <w:tblCellMar>
          <w:top w:w="0" w:type="dxa"/>
          <w:left w:w="108" w:type="dxa"/>
          <w:bottom w:w="0" w:type="dxa"/>
          <w:right w:w="108" w:type="dxa"/>
        </w:tblCellMar>
      </w:tblPr>
      <w:tblGrid>
        <w:gridCol w:w="685"/>
        <w:gridCol w:w="2610"/>
        <w:gridCol w:w="1411"/>
        <w:gridCol w:w="1372"/>
        <w:gridCol w:w="1277"/>
        <w:gridCol w:w="2239"/>
        <w:gridCol w:w="1456"/>
        <w:gridCol w:w="750"/>
        <w:gridCol w:w="2707"/>
        <w:gridCol w:w="1450"/>
      </w:tblGrid>
      <w:tr>
        <w:tblPrEx>
          <w:tblLayout w:type="fixed"/>
          <w:tblCellMar>
            <w:top w:w="0" w:type="dxa"/>
            <w:left w:w="108" w:type="dxa"/>
            <w:bottom w:w="0" w:type="dxa"/>
            <w:right w:w="108" w:type="dxa"/>
          </w:tblCellMar>
        </w:tblPrEx>
        <w:trPr>
          <w:trHeight w:val="410" w:hRule="atLeast"/>
          <w:jc w:val="center"/>
        </w:trPr>
        <w:tc>
          <w:tcPr>
            <w:tcW w:w="685"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序号</w:t>
            </w:r>
          </w:p>
        </w:tc>
        <w:tc>
          <w:tcPr>
            <w:tcW w:w="2610"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招聘单位</w:t>
            </w:r>
          </w:p>
        </w:tc>
        <w:tc>
          <w:tcPr>
            <w:tcW w:w="1411"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招聘岗位</w:t>
            </w:r>
          </w:p>
        </w:tc>
        <w:tc>
          <w:tcPr>
            <w:tcW w:w="1372"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岗位类别及等级</w:t>
            </w:r>
          </w:p>
        </w:tc>
        <w:tc>
          <w:tcPr>
            <w:tcW w:w="1277"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 xml:space="preserve">招聘名额    </w:t>
            </w:r>
          </w:p>
        </w:tc>
        <w:tc>
          <w:tcPr>
            <w:tcW w:w="7152" w:type="dxa"/>
            <w:gridSpan w:val="4"/>
            <w:tcBorders>
              <w:top w:val="single" w:color="000000" w:sz="4" w:space="0"/>
              <w:left w:val="single" w:color="000000" w:sz="4" w:space="0"/>
              <w:bottom w:val="single" w:color="000000" w:sz="4" w:space="0"/>
              <w:right w:val="single" w:color="000000" w:sz="4" w:space="0"/>
            </w:tcBorders>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基本条件</w:t>
            </w:r>
          </w:p>
        </w:tc>
        <w:tc>
          <w:tcPr>
            <w:tcW w:w="1450" w:type="dxa"/>
            <w:vMerge w:val="restart"/>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备注</w:t>
            </w:r>
          </w:p>
        </w:tc>
      </w:tr>
      <w:tr>
        <w:tblPrEx>
          <w:tblLayout w:type="fixed"/>
          <w:tblCellMar>
            <w:top w:w="0" w:type="dxa"/>
            <w:left w:w="108" w:type="dxa"/>
            <w:bottom w:w="0" w:type="dxa"/>
            <w:right w:w="108" w:type="dxa"/>
          </w:tblCellMar>
        </w:tblPrEx>
        <w:trPr>
          <w:trHeight w:val="410" w:hRule="atLeast"/>
          <w:jc w:val="center"/>
        </w:trPr>
        <w:tc>
          <w:tcPr>
            <w:tcW w:w="685" w:type="dxa"/>
            <w:vMerge w:val="continue"/>
            <w:tcBorders>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c>
          <w:tcPr>
            <w:tcW w:w="261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c>
          <w:tcPr>
            <w:tcW w:w="1411"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c>
          <w:tcPr>
            <w:tcW w:w="1372"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c>
          <w:tcPr>
            <w:tcW w:w="1277"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c>
          <w:tcPr>
            <w:tcW w:w="223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学历(学位）</w:t>
            </w:r>
          </w:p>
        </w:tc>
        <w:tc>
          <w:tcPr>
            <w:tcW w:w="1456" w:type="dxa"/>
            <w:tcBorders>
              <w:top w:val="single" w:color="000000" w:sz="4" w:space="0"/>
              <w:left w:val="single" w:color="000000" w:sz="4" w:space="0"/>
              <w:bottom w:val="single" w:color="auto" w:sz="4" w:space="0"/>
              <w:right w:val="single" w:color="000000" w:sz="4" w:space="0"/>
            </w:tcBorders>
          </w:tcPr>
          <w:p>
            <w:pPr>
              <w:widowControl/>
              <w:adjustRightInd w:val="0"/>
              <w:snapToGrid w:val="0"/>
              <w:spacing w:line="400" w:lineRule="exact"/>
              <w:jc w:val="center"/>
              <w:textAlignment w:val="center"/>
              <w:rPr>
                <w:rFonts w:eastAsia="方正仿宋_GBK"/>
                <w:color w:val="000000"/>
                <w:kern w:val="0"/>
                <w:sz w:val="28"/>
                <w:szCs w:val="28"/>
              </w:rPr>
            </w:pPr>
            <w:r>
              <w:rPr>
                <w:rFonts w:hint="eastAsia" w:eastAsia="方正仿宋_GBK"/>
                <w:color w:val="000000"/>
                <w:kern w:val="0"/>
                <w:sz w:val="28"/>
                <w:szCs w:val="28"/>
              </w:rPr>
              <w:t>专业</w:t>
            </w:r>
          </w:p>
        </w:tc>
        <w:tc>
          <w:tcPr>
            <w:tcW w:w="75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年龄</w:t>
            </w:r>
          </w:p>
        </w:tc>
        <w:tc>
          <w:tcPr>
            <w:tcW w:w="270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sz w:val="28"/>
                <w:szCs w:val="28"/>
              </w:rPr>
            </w:pPr>
            <w:r>
              <w:rPr>
                <w:rFonts w:eastAsia="方正仿宋_GBK"/>
                <w:color w:val="000000"/>
                <w:kern w:val="0"/>
                <w:sz w:val="28"/>
                <w:szCs w:val="28"/>
              </w:rPr>
              <w:t>其他条件</w:t>
            </w:r>
          </w:p>
        </w:tc>
        <w:tc>
          <w:tcPr>
            <w:tcW w:w="145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rPr>
                <w:rFonts w:eastAsia="方正仿宋_GBK"/>
                <w:color w:val="000000"/>
                <w:sz w:val="28"/>
                <w:szCs w:val="28"/>
              </w:rPr>
            </w:pPr>
          </w:p>
        </w:tc>
      </w:tr>
      <w:tr>
        <w:tblPrEx>
          <w:tblLayout w:type="fixed"/>
          <w:tblCellMar>
            <w:top w:w="0" w:type="dxa"/>
            <w:left w:w="108" w:type="dxa"/>
            <w:bottom w:w="0" w:type="dxa"/>
            <w:right w:w="108" w:type="dxa"/>
          </w:tblCellMar>
        </w:tblPrEx>
        <w:trPr>
          <w:trHeight w:val="1274" w:hRule="atLeast"/>
          <w:jc w:val="center"/>
        </w:trPr>
        <w:tc>
          <w:tcPr>
            <w:tcW w:w="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1</w:t>
            </w:r>
          </w:p>
        </w:tc>
        <w:tc>
          <w:tcPr>
            <w:tcW w:w="2610"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回龙中学</w:t>
            </w:r>
          </w:p>
        </w:tc>
        <w:tc>
          <w:tcPr>
            <w:tcW w:w="14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中学</w:t>
            </w:r>
            <w:r>
              <w:rPr>
                <w:rFonts w:hint="eastAsia" w:eastAsia="方正仿宋_GBK"/>
                <w:color w:val="000000"/>
                <w:kern w:val="0"/>
                <w:sz w:val="28"/>
                <w:szCs w:val="28"/>
              </w:rPr>
              <w:t>物理</w:t>
            </w:r>
            <w:r>
              <w:rPr>
                <w:rFonts w:eastAsia="方正仿宋_GBK"/>
                <w:color w:val="000000"/>
                <w:kern w:val="0"/>
                <w:sz w:val="28"/>
                <w:szCs w:val="28"/>
              </w:rPr>
              <w:t>教师</w:t>
            </w:r>
          </w:p>
        </w:tc>
        <w:tc>
          <w:tcPr>
            <w:tcW w:w="13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专技12级</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1</w:t>
            </w:r>
          </w:p>
        </w:tc>
        <w:tc>
          <w:tcPr>
            <w:tcW w:w="2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全日制普通高校本科以上学历</w:t>
            </w:r>
            <w:r>
              <w:rPr>
                <w:rFonts w:hint="eastAsia" w:eastAsia="方正仿宋_GBK"/>
                <w:color w:val="000000"/>
                <w:kern w:val="0"/>
                <w:sz w:val="28"/>
                <w:szCs w:val="28"/>
              </w:rPr>
              <w:t>及</w:t>
            </w:r>
            <w:r>
              <w:rPr>
                <w:rFonts w:eastAsia="方正仿宋_GBK"/>
                <w:color w:val="000000"/>
                <w:kern w:val="0"/>
                <w:sz w:val="28"/>
                <w:szCs w:val="28"/>
              </w:rPr>
              <w:t>相应学位</w:t>
            </w:r>
          </w:p>
        </w:tc>
        <w:tc>
          <w:tcPr>
            <w:tcW w:w="145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400" w:lineRule="exact"/>
              <w:jc w:val="center"/>
              <w:rPr>
                <w:rFonts w:hint="eastAsia" w:eastAsia="方正仿宋_GBK"/>
                <w:color w:val="000000"/>
                <w:kern w:val="0"/>
                <w:sz w:val="28"/>
                <w:szCs w:val="28"/>
              </w:rPr>
            </w:pPr>
          </w:p>
          <w:p>
            <w:pPr>
              <w:widowControl/>
              <w:adjustRightInd w:val="0"/>
              <w:snapToGrid w:val="0"/>
              <w:spacing w:line="400" w:lineRule="exact"/>
              <w:jc w:val="center"/>
              <w:rPr>
                <w:rFonts w:hint="eastAsia" w:eastAsia="方正仿宋_GBK"/>
                <w:color w:val="000000"/>
                <w:kern w:val="0"/>
                <w:sz w:val="28"/>
                <w:szCs w:val="28"/>
              </w:rPr>
            </w:pPr>
            <w:r>
              <w:rPr>
                <w:rFonts w:hint="eastAsia" w:eastAsia="方正仿宋_GBK"/>
                <w:color w:val="000000"/>
                <w:kern w:val="0"/>
                <w:sz w:val="28"/>
                <w:szCs w:val="28"/>
              </w:rPr>
              <w:t>物理学</w:t>
            </w:r>
          </w:p>
        </w:tc>
        <w:tc>
          <w:tcPr>
            <w:tcW w:w="750"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30周岁及以下</w:t>
            </w:r>
          </w:p>
        </w:tc>
        <w:tc>
          <w:tcPr>
            <w:tcW w:w="2707"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kern w:val="0"/>
                <w:sz w:val="28"/>
                <w:szCs w:val="28"/>
              </w:rPr>
            </w:pPr>
            <w:r>
              <w:rPr>
                <w:rFonts w:hint="eastAsia" w:eastAsia="方正仿宋_GBK"/>
                <w:kern w:val="0"/>
                <w:sz w:val="28"/>
                <w:szCs w:val="28"/>
              </w:rPr>
              <w:t>教育部直属师范大学2018年应届毕业免费师范生（石柱籍）；具有初中及以上教师资格证书。</w:t>
            </w: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p>
        </w:tc>
      </w:tr>
      <w:tr>
        <w:tblPrEx>
          <w:tblLayout w:type="fixed"/>
          <w:tblCellMar>
            <w:top w:w="0" w:type="dxa"/>
            <w:left w:w="108" w:type="dxa"/>
            <w:bottom w:w="0" w:type="dxa"/>
            <w:right w:w="108" w:type="dxa"/>
          </w:tblCellMar>
        </w:tblPrEx>
        <w:trPr>
          <w:trHeight w:val="1274" w:hRule="atLeast"/>
          <w:jc w:val="center"/>
        </w:trPr>
        <w:tc>
          <w:tcPr>
            <w:tcW w:w="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2</w:t>
            </w:r>
          </w:p>
        </w:tc>
        <w:tc>
          <w:tcPr>
            <w:tcW w:w="2610" w:type="dxa"/>
            <w:vMerge w:val="continue"/>
            <w:tcBorders>
              <w:left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p>
        </w:tc>
        <w:tc>
          <w:tcPr>
            <w:tcW w:w="14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hint="eastAsia" w:eastAsia="方正仿宋_GBK"/>
                <w:color w:val="000000"/>
                <w:kern w:val="0"/>
                <w:sz w:val="28"/>
                <w:szCs w:val="28"/>
              </w:rPr>
              <w:t>中学化学教师</w:t>
            </w:r>
          </w:p>
        </w:tc>
        <w:tc>
          <w:tcPr>
            <w:tcW w:w="13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专技12级</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1</w:t>
            </w:r>
          </w:p>
        </w:tc>
        <w:tc>
          <w:tcPr>
            <w:tcW w:w="2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全日制普通高校本科以上学历</w:t>
            </w:r>
            <w:r>
              <w:rPr>
                <w:rFonts w:hint="eastAsia" w:eastAsia="方正仿宋_GBK"/>
                <w:color w:val="000000"/>
                <w:kern w:val="0"/>
                <w:sz w:val="28"/>
                <w:szCs w:val="28"/>
              </w:rPr>
              <w:t>及</w:t>
            </w:r>
            <w:r>
              <w:rPr>
                <w:rFonts w:eastAsia="方正仿宋_GBK"/>
                <w:color w:val="000000"/>
                <w:kern w:val="0"/>
                <w:sz w:val="28"/>
                <w:szCs w:val="28"/>
              </w:rPr>
              <w:t>相应学位</w:t>
            </w:r>
          </w:p>
        </w:tc>
        <w:tc>
          <w:tcPr>
            <w:tcW w:w="145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400" w:lineRule="exact"/>
              <w:jc w:val="center"/>
              <w:rPr>
                <w:rFonts w:eastAsia="方正仿宋_GBK"/>
                <w:color w:val="000000"/>
                <w:kern w:val="0"/>
                <w:sz w:val="28"/>
                <w:szCs w:val="28"/>
              </w:rPr>
            </w:pPr>
          </w:p>
          <w:p>
            <w:pPr>
              <w:widowControl/>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化学</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p>
        </w:tc>
        <w:tc>
          <w:tcPr>
            <w:tcW w:w="2707" w:type="dxa"/>
            <w:vMerge w:val="continue"/>
            <w:tcBorders>
              <w:left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kern w:val="0"/>
                <w:sz w:val="28"/>
                <w:szCs w:val="28"/>
              </w:rPr>
            </w:pP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p>
        </w:tc>
      </w:tr>
      <w:tr>
        <w:tblPrEx>
          <w:tblLayout w:type="fixed"/>
          <w:tblCellMar>
            <w:top w:w="0" w:type="dxa"/>
            <w:left w:w="108" w:type="dxa"/>
            <w:bottom w:w="0" w:type="dxa"/>
            <w:right w:w="108" w:type="dxa"/>
          </w:tblCellMar>
        </w:tblPrEx>
        <w:trPr>
          <w:trHeight w:val="1274" w:hRule="atLeast"/>
          <w:jc w:val="center"/>
        </w:trPr>
        <w:tc>
          <w:tcPr>
            <w:tcW w:w="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3</w:t>
            </w:r>
          </w:p>
        </w:tc>
        <w:tc>
          <w:tcPr>
            <w:tcW w:w="2610"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p>
        </w:tc>
        <w:tc>
          <w:tcPr>
            <w:tcW w:w="14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hint="eastAsia" w:eastAsia="方正仿宋_GBK"/>
                <w:color w:val="000000"/>
                <w:kern w:val="0"/>
                <w:sz w:val="28"/>
                <w:szCs w:val="28"/>
              </w:rPr>
              <w:t>中学生物教师</w:t>
            </w:r>
          </w:p>
        </w:tc>
        <w:tc>
          <w:tcPr>
            <w:tcW w:w="13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专技12级</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1</w:t>
            </w:r>
          </w:p>
        </w:tc>
        <w:tc>
          <w:tcPr>
            <w:tcW w:w="2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全日制普通高校本科以上学历</w:t>
            </w:r>
            <w:r>
              <w:rPr>
                <w:rFonts w:hint="eastAsia" w:eastAsia="方正仿宋_GBK"/>
                <w:color w:val="000000"/>
                <w:kern w:val="0"/>
                <w:sz w:val="28"/>
                <w:szCs w:val="28"/>
              </w:rPr>
              <w:t>及</w:t>
            </w:r>
            <w:r>
              <w:rPr>
                <w:rFonts w:eastAsia="方正仿宋_GBK"/>
                <w:color w:val="000000"/>
                <w:kern w:val="0"/>
                <w:sz w:val="28"/>
                <w:szCs w:val="28"/>
              </w:rPr>
              <w:t>相应学位</w:t>
            </w:r>
          </w:p>
        </w:tc>
        <w:tc>
          <w:tcPr>
            <w:tcW w:w="145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400" w:lineRule="exact"/>
              <w:jc w:val="center"/>
              <w:rPr>
                <w:rFonts w:eastAsia="方正仿宋_GBK"/>
                <w:color w:val="000000"/>
                <w:kern w:val="0"/>
                <w:sz w:val="28"/>
                <w:szCs w:val="28"/>
              </w:rPr>
            </w:pPr>
          </w:p>
          <w:p>
            <w:pPr>
              <w:widowControl/>
              <w:adjustRightInd w:val="0"/>
              <w:snapToGrid w:val="0"/>
              <w:spacing w:line="400" w:lineRule="exact"/>
              <w:jc w:val="center"/>
              <w:rPr>
                <w:rFonts w:eastAsia="方正仿宋_GBK"/>
                <w:color w:val="000000"/>
                <w:kern w:val="0"/>
                <w:sz w:val="28"/>
                <w:szCs w:val="28"/>
              </w:rPr>
            </w:pPr>
            <w:r>
              <w:rPr>
                <w:rFonts w:hint="eastAsia" w:eastAsia="方正仿宋_GBK"/>
                <w:color w:val="000000"/>
                <w:kern w:val="0"/>
                <w:sz w:val="28"/>
                <w:szCs w:val="28"/>
              </w:rPr>
              <w:t>生物科学</w:t>
            </w:r>
          </w:p>
        </w:tc>
        <w:tc>
          <w:tcPr>
            <w:tcW w:w="750"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p>
        </w:tc>
        <w:tc>
          <w:tcPr>
            <w:tcW w:w="2707"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kern w:val="0"/>
                <w:sz w:val="28"/>
                <w:szCs w:val="28"/>
              </w:rPr>
            </w:pP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p>
        </w:tc>
      </w:tr>
      <w:tr>
        <w:tblPrEx>
          <w:tblLayout w:type="fixed"/>
          <w:tblCellMar>
            <w:top w:w="0" w:type="dxa"/>
            <w:left w:w="108" w:type="dxa"/>
            <w:bottom w:w="0" w:type="dxa"/>
            <w:right w:w="108" w:type="dxa"/>
          </w:tblCellMar>
        </w:tblPrEx>
        <w:trPr>
          <w:trHeight w:val="1451" w:hRule="atLeast"/>
          <w:jc w:val="center"/>
        </w:trPr>
        <w:tc>
          <w:tcPr>
            <w:tcW w:w="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sz w:val="28"/>
                <w:szCs w:val="28"/>
              </w:rPr>
            </w:pPr>
            <w:r>
              <w:rPr>
                <w:rFonts w:hint="eastAsia" w:eastAsia="方正仿宋_GBK"/>
                <w:sz w:val="28"/>
                <w:szCs w:val="28"/>
              </w:rPr>
              <w:t>4</w:t>
            </w:r>
          </w:p>
        </w:tc>
        <w:tc>
          <w:tcPr>
            <w:tcW w:w="2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eastAsia="方正仿宋_GBK"/>
                <w:sz w:val="28"/>
                <w:szCs w:val="28"/>
              </w:rPr>
              <w:t>黄水小学、临溪小学、黎家小学、悦崃小学、西沱小学</w:t>
            </w:r>
          </w:p>
        </w:tc>
        <w:tc>
          <w:tcPr>
            <w:tcW w:w="14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幼儿教师</w:t>
            </w:r>
          </w:p>
        </w:tc>
        <w:tc>
          <w:tcPr>
            <w:tcW w:w="13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专技13级</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5</w:t>
            </w:r>
          </w:p>
        </w:tc>
        <w:tc>
          <w:tcPr>
            <w:tcW w:w="2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全日制普通高校专科以上学历</w:t>
            </w:r>
          </w:p>
        </w:tc>
        <w:tc>
          <w:tcPr>
            <w:tcW w:w="1456" w:type="dxa"/>
            <w:tcBorders>
              <w:top w:val="single" w:color="auto" w:sz="4" w:space="0"/>
              <w:left w:val="single" w:color="auto" w:sz="4" w:space="0"/>
              <w:bottom w:val="single" w:color="auto" w:sz="4" w:space="0"/>
              <w:right w:val="single" w:color="auto" w:sz="4" w:space="0"/>
            </w:tcBorders>
          </w:tcPr>
          <w:p>
            <w:pPr>
              <w:rPr>
                <w:rFonts w:eastAsia="方正仿宋_GBK"/>
                <w:sz w:val="28"/>
                <w:szCs w:val="28"/>
              </w:rPr>
            </w:pPr>
            <w:bookmarkStart w:id="0" w:name="_GoBack"/>
            <w:bookmarkEnd w:id="0"/>
          </w:p>
          <w:p>
            <w:pPr>
              <w:rPr>
                <w:rFonts w:eastAsia="方正仿宋_GBK"/>
                <w:sz w:val="28"/>
                <w:szCs w:val="28"/>
              </w:rPr>
            </w:pPr>
            <w:r>
              <w:rPr>
                <w:rFonts w:hint="eastAsia" w:eastAsia="方正仿宋_GBK"/>
                <w:sz w:val="28"/>
                <w:szCs w:val="28"/>
              </w:rPr>
              <w:t>学前教育</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olor w:val="000000"/>
                <w:kern w:val="0"/>
                <w:sz w:val="28"/>
                <w:szCs w:val="28"/>
              </w:rPr>
            </w:pP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kern w:val="0"/>
                <w:sz w:val="28"/>
                <w:szCs w:val="28"/>
              </w:rPr>
            </w:pPr>
            <w:r>
              <w:rPr>
                <w:rFonts w:hint="eastAsia" w:eastAsia="方正仿宋_GBK"/>
                <w:kern w:val="0"/>
                <w:sz w:val="28"/>
                <w:szCs w:val="28"/>
              </w:rPr>
              <w:t>2018年应届毕业的定向培养学前教育公费师范生；</w:t>
            </w:r>
            <w:r>
              <w:rPr>
                <w:rFonts w:eastAsia="方正仿宋_GBK"/>
                <w:kern w:val="0"/>
                <w:sz w:val="28"/>
                <w:szCs w:val="28"/>
              </w:rPr>
              <w:t>具有</w:t>
            </w:r>
            <w:r>
              <w:rPr>
                <w:rFonts w:hint="eastAsia" w:eastAsia="方正仿宋_GBK"/>
                <w:kern w:val="0"/>
                <w:sz w:val="28"/>
                <w:szCs w:val="28"/>
              </w:rPr>
              <w:t>幼教及以上</w:t>
            </w:r>
            <w:r>
              <w:rPr>
                <w:rFonts w:eastAsia="方正仿宋_GBK"/>
                <w:kern w:val="0"/>
                <w:sz w:val="28"/>
                <w:szCs w:val="28"/>
              </w:rPr>
              <w:t>教师资格证书</w:t>
            </w:r>
            <w:r>
              <w:rPr>
                <w:rFonts w:hint="eastAsia" w:eastAsia="方正仿宋_GBK"/>
                <w:kern w:val="0"/>
                <w:sz w:val="28"/>
                <w:szCs w:val="28"/>
              </w:rPr>
              <w:t>。</w:t>
            </w: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按总成绩从高到低依次</w:t>
            </w:r>
            <w:r>
              <w:rPr>
                <w:rFonts w:hint="eastAsia" w:eastAsia="方正仿宋_GBK"/>
                <w:color w:val="000000"/>
                <w:kern w:val="0"/>
                <w:sz w:val="28"/>
                <w:szCs w:val="28"/>
              </w:rPr>
              <w:t>选岗</w:t>
            </w:r>
          </w:p>
        </w:tc>
      </w:tr>
      <w:tr>
        <w:tblPrEx>
          <w:tblLayout w:type="fixed"/>
          <w:tblCellMar>
            <w:top w:w="0" w:type="dxa"/>
            <w:left w:w="108" w:type="dxa"/>
            <w:bottom w:w="0" w:type="dxa"/>
            <w:right w:w="108" w:type="dxa"/>
          </w:tblCellMar>
        </w:tblPrEx>
        <w:trPr>
          <w:trHeight w:val="2239" w:hRule="atLeast"/>
          <w:jc w:val="center"/>
        </w:trPr>
        <w:tc>
          <w:tcPr>
            <w:tcW w:w="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sz w:val="28"/>
                <w:szCs w:val="28"/>
              </w:rPr>
            </w:pPr>
            <w:r>
              <w:rPr>
                <w:rFonts w:hint="eastAsia" w:eastAsia="方正仿宋_GBK"/>
                <w:sz w:val="28"/>
                <w:szCs w:val="28"/>
              </w:rPr>
              <w:t>5</w:t>
            </w:r>
          </w:p>
        </w:tc>
        <w:tc>
          <w:tcPr>
            <w:tcW w:w="261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400" w:lineRule="exact"/>
              <w:jc w:val="center"/>
              <w:rPr>
                <w:rFonts w:eastAsia="方正仿宋_GBK"/>
                <w:color w:val="000000"/>
                <w:kern w:val="0"/>
                <w:sz w:val="28"/>
                <w:szCs w:val="28"/>
              </w:rPr>
            </w:pPr>
            <w:r>
              <w:rPr>
                <w:rFonts w:eastAsia="方正仿宋_GBK"/>
                <w:sz w:val="28"/>
                <w:szCs w:val="28"/>
              </w:rPr>
              <w:t>洗新小学白果坪村小1名、新乐小学1名、龙潭小学下属教学点1名、金铃小学2名、临溪小学百特村小1名、黎家小学1名、前光小学1名、石家小学1名、芭蕉小学1名、王家小学1名、悦崃小学古城村小1名、悦崃小学水车村小1名、联心小学1名、白江小学1名、西沱小学1名</w:t>
            </w:r>
          </w:p>
        </w:tc>
        <w:tc>
          <w:tcPr>
            <w:tcW w:w="141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农村小学</w:t>
            </w:r>
          </w:p>
          <w:p>
            <w:pPr>
              <w:widowControl/>
              <w:adjustRightInd w:val="0"/>
              <w:snapToGrid w:val="0"/>
              <w:spacing w:line="400" w:lineRule="exact"/>
              <w:jc w:val="center"/>
              <w:textAlignment w:val="center"/>
              <w:rPr>
                <w:rFonts w:eastAsia="方正仿宋_GBK"/>
                <w:color w:val="000000"/>
                <w:kern w:val="0"/>
                <w:sz w:val="28"/>
                <w:szCs w:val="28"/>
              </w:rPr>
            </w:pPr>
            <w:r>
              <w:rPr>
                <w:rFonts w:eastAsia="方正仿宋_GBK"/>
                <w:color w:val="000000"/>
                <w:kern w:val="0"/>
                <w:sz w:val="28"/>
                <w:szCs w:val="28"/>
              </w:rPr>
              <w:t>全科教师</w:t>
            </w:r>
          </w:p>
        </w:tc>
        <w:tc>
          <w:tcPr>
            <w:tcW w:w="137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专技12级</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16</w:t>
            </w:r>
          </w:p>
        </w:tc>
        <w:tc>
          <w:tcPr>
            <w:tcW w:w="22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全日制普通高校本科以上学历</w:t>
            </w:r>
            <w:r>
              <w:rPr>
                <w:rFonts w:hint="eastAsia" w:eastAsia="方正仿宋_GBK"/>
                <w:color w:val="000000"/>
                <w:kern w:val="0"/>
                <w:sz w:val="28"/>
                <w:szCs w:val="28"/>
              </w:rPr>
              <w:t>及</w:t>
            </w:r>
            <w:r>
              <w:rPr>
                <w:rFonts w:eastAsia="方正仿宋_GBK"/>
                <w:color w:val="000000"/>
                <w:kern w:val="0"/>
                <w:sz w:val="28"/>
                <w:szCs w:val="28"/>
              </w:rPr>
              <w:t>相应学位</w:t>
            </w:r>
          </w:p>
        </w:tc>
        <w:tc>
          <w:tcPr>
            <w:tcW w:w="1456"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eastAsia="方正仿宋_GBK"/>
                <w:color w:val="000000"/>
                <w:kern w:val="0"/>
                <w:sz w:val="28"/>
                <w:szCs w:val="28"/>
              </w:rPr>
            </w:pPr>
          </w:p>
          <w:p>
            <w:pPr>
              <w:rPr>
                <w:rFonts w:eastAsia="方正仿宋_GBK"/>
                <w:sz w:val="28"/>
                <w:szCs w:val="28"/>
              </w:rPr>
            </w:pPr>
          </w:p>
          <w:p>
            <w:pPr>
              <w:rPr>
                <w:rFonts w:eastAsia="方正仿宋_GBK"/>
                <w:sz w:val="28"/>
                <w:szCs w:val="28"/>
              </w:rPr>
            </w:pPr>
          </w:p>
          <w:p>
            <w:pPr>
              <w:rPr>
                <w:rFonts w:eastAsia="方正仿宋_GBK"/>
                <w:sz w:val="28"/>
                <w:szCs w:val="28"/>
              </w:rPr>
            </w:pPr>
          </w:p>
          <w:p>
            <w:pPr>
              <w:rPr>
                <w:rFonts w:eastAsia="方正仿宋_GBK"/>
                <w:sz w:val="28"/>
                <w:szCs w:val="28"/>
              </w:rPr>
            </w:pPr>
          </w:p>
          <w:p>
            <w:pPr>
              <w:rPr>
                <w:rFonts w:eastAsia="方正仿宋_GBK"/>
                <w:sz w:val="28"/>
                <w:szCs w:val="28"/>
              </w:rPr>
            </w:pPr>
            <w:r>
              <w:rPr>
                <w:rFonts w:hint="eastAsia" w:eastAsia="方正仿宋_GBK"/>
                <w:sz w:val="28"/>
                <w:szCs w:val="28"/>
              </w:rPr>
              <w:t>小学教育</w:t>
            </w:r>
          </w:p>
          <w:p>
            <w:pPr>
              <w:rPr>
                <w:rFonts w:eastAsia="方正仿宋_GBK"/>
                <w:sz w:val="28"/>
                <w:szCs w:val="28"/>
              </w:rPr>
            </w:pPr>
          </w:p>
          <w:p>
            <w:pPr>
              <w:rPr>
                <w:rFonts w:eastAsia="方正仿宋_GBK"/>
                <w:sz w:val="28"/>
                <w:szCs w:val="28"/>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eastAsia="方正仿宋_GBK"/>
                <w:color w:val="000000"/>
                <w:kern w:val="0"/>
                <w:sz w:val="28"/>
                <w:szCs w:val="28"/>
              </w:rPr>
            </w:pPr>
          </w:p>
        </w:tc>
        <w:tc>
          <w:tcPr>
            <w:tcW w:w="270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kern w:val="0"/>
                <w:sz w:val="28"/>
                <w:szCs w:val="28"/>
              </w:rPr>
            </w:pPr>
            <w:r>
              <w:rPr>
                <w:rFonts w:hint="eastAsia" w:eastAsia="方正仿宋_GBK"/>
                <w:kern w:val="0"/>
                <w:sz w:val="28"/>
                <w:szCs w:val="28"/>
              </w:rPr>
              <w:t>2018年应届毕业的定向培养农村小学全科师范生；</w:t>
            </w:r>
            <w:r>
              <w:rPr>
                <w:rFonts w:eastAsia="方正仿宋_GBK"/>
                <w:kern w:val="0"/>
                <w:sz w:val="28"/>
                <w:szCs w:val="28"/>
              </w:rPr>
              <w:t>具有</w:t>
            </w:r>
            <w:r>
              <w:rPr>
                <w:rFonts w:hint="eastAsia" w:eastAsia="方正仿宋_GBK"/>
                <w:kern w:val="0"/>
                <w:sz w:val="28"/>
                <w:szCs w:val="28"/>
              </w:rPr>
              <w:t>小学及以上</w:t>
            </w:r>
            <w:r>
              <w:rPr>
                <w:rFonts w:eastAsia="方正仿宋_GBK"/>
                <w:kern w:val="0"/>
                <w:sz w:val="28"/>
                <w:szCs w:val="28"/>
              </w:rPr>
              <w:t>教师资格证书</w:t>
            </w:r>
            <w:r>
              <w:rPr>
                <w:rFonts w:hint="eastAsia" w:eastAsia="方正仿宋_GBK"/>
                <w:kern w:val="0"/>
                <w:sz w:val="28"/>
                <w:szCs w:val="28"/>
              </w:rPr>
              <w:t>。</w:t>
            </w:r>
          </w:p>
        </w:tc>
        <w:tc>
          <w:tcPr>
            <w:tcW w:w="145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00" w:lineRule="exact"/>
              <w:jc w:val="center"/>
              <w:rPr>
                <w:rFonts w:eastAsia="方正仿宋_GBK"/>
                <w:color w:val="000000"/>
                <w:kern w:val="0"/>
                <w:sz w:val="28"/>
                <w:szCs w:val="28"/>
              </w:rPr>
            </w:pPr>
            <w:r>
              <w:rPr>
                <w:rFonts w:eastAsia="方正仿宋_GBK"/>
                <w:color w:val="000000"/>
                <w:kern w:val="0"/>
                <w:sz w:val="28"/>
                <w:szCs w:val="28"/>
              </w:rPr>
              <w:t>按总成绩从高到低依次</w:t>
            </w:r>
            <w:r>
              <w:rPr>
                <w:rFonts w:hint="eastAsia" w:eastAsia="方正仿宋_GBK"/>
                <w:color w:val="000000"/>
                <w:kern w:val="0"/>
                <w:sz w:val="28"/>
                <w:szCs w:val="28"/>
              </w:rPr>
              <w:t>选岗</w:t>
            </w:r>
          </w:p>
        </w:tc>
      </w:tr>
    </w:tbl>
    <w:p>
      <w:pPr>
        <w:snapToGrid w:val="0"/>
        <w:spacing w:line="560" w:lineRule="exact"/>
        <w:jc w:val="center"/>
      </w:pPr>
    </w:p>
    <w:sectPr>
      <w:pgSz w:w="16838" w:h="11906" w:orient="landscape"/>
      <w:pgMar w:top="1588" w:right="2098" w:bottom="1474" w:left="1985" w:header="1701" w:footer="113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27D4"/>
    <w:rsid w:val="00143FEF"/>
    <w:rsid w:val="001C6CDD"/>
    <w:rsid w:val="004B3AD9"/>
    <w:rsid w:val="00685CE7"/>
    <w:rsid w:val="007527D4"/>
    <w:rsid w:val="00893CCE"/>
    <w:rsid w:val="00921AD9"/>
    <w:rsid w:val="009F38CE"/>
    <w:rsid w:val="00B61147"/>
    <w:rsid w:val="00C05CB1"/>
    <w:rsid w:val="00CC3F4C"/>
    <w:rsid w:val="00CF0E0B"/>
    <w:rsid w:val="00DD69C9"/>
    <w:rsid w:val="00F24F18"/>
    <w:rsid w:val="01AC5A95"/>
    <w:rsid w:val="12D34739"/>
    <w:rsid w:val="199966D6"/>
    <w:rsid w:val="1EC94D5A"/>
    <w:rsid w:val="7352020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100</Words>
  <Characters>572</Characters>
  <Lines>4</Lines>
  <Paragraphs>1</Paragraphs>
  <ScaleCrop>false</ScaleCrop>
  <LinksUpToDate>false</LinksUpToDate>
  <CharactersWithSpaces>671</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2018-08-29T06:42:00Z</dcterms:created>
  <dc:creator>hp2806100</dc:creator>
  <cp:lastModifiedBy>Administrator</cp:lastModifiedBy>
  <dcterms:modified xsi:type="dcterms:W3CDTF">2018-08-29T09:33:42Z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