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766" w:rsidRDefault="00BE5766" w:rsidP="00BE5766">
      <w:pPr>
        <w:snapToGrid w:val="0"/>
        <w:spacing w:line="312" w:lineRule="auto"/>
        <w:rPr>
          <w:rFonts w:ascii="仿宋" w:eastAsia="仿宋" w:hAnsi="仿宋"/>
          <w:b/>
          <w:bCs/>
          <w:sz w:val="30"/>
          <w:szCs w:val="30"/>
        </w:rPr>
      </w:pPr>
      <w:r>
        <w:rPr>
          <w:rFonts w:ascii="仿宋" w:eastAsia="仿宋" w:hAnsi="仿宋" w:hint="eastAsia"/>
          <w:b/>
          <w:bCs/>
          <w:sz w:val="30"/>
          <w:szCs w:val="30"/>
        </w:rPr>
        <w:t>附件1：</w:t>
      </w:r>
    </w:p>
    <w:p w:rsidR="00BE5766" w:rsidRDefault="00BE5766" w:rsidP="00BE5766">
      <w:pPr>
        <w:jc w:val="center"/>
        <w:rPr>
          <w:rFonts w:ascii="仿宋" w:eastAsia="仿宋" w:hAnsi="仿宋"/>
          <w:b/>
          <w:bCs/>
          <w:sz w:val="30"/>
          <w:szCs w:val="30"/>
        </w:rPr>
      </w:pPr>
      <w:r>
        <w:rPr>
          <w:rFonts w:ascii="仿宋" w:eastAsia="仿宋" w:hAnsi="仿宋" w:hint="eastAsia"/>
          <w:b/>
          <w:bCs/>
          <w:sz w:val="30"/>
          <w:szCs w:val="30"/>
        </w:rPr>
        <w:t>2020年优秀应届毕业生招聘计划表</w:t>
      </w:r>
    </w:p>
    <w:tbl>
      <w:tblPr>
        <w:tblW w:w="9690" w:type="dxa"/>
        <w:jc w:val="center"/>
        <w:tblBorders>
          <w:top w:val="single" w:sz="12" w:space="0" w:color="008000"/>
          <w:bottom w:val="single" w:sz="12" w:space="0" w:color="008000"/>
        </w:tblBorders>
        <w:tblLayout w:type="fixed"/>
        <w:tblLook w:val="04A0" w:firstRow="1" w:lastRow="0" w:firstColumn="1" w:lastColumn="0" w:noHBand="0" w:noVBand="1"/>
      </w:tblPr>
      <w:tblGrid>
        <w:gridCol w:w="1219"/>
        <w:gridCol w:w="5084"/>
        <w:gridCol w:w="779"/>
        <w:gridCol w:w="901"/>
        <w:gridCol w:w="780"/>
        <w:gridCol w:w="927"/>
      </w:tblGrid>
      <w:tr w:rsidR="00BE5766" w:rsidTr="00A9047E">
        <w:trPr>
          <w:trHeight w:val="480"/>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bookmarkStart w:id="0" w:name="_GoBack"/>
            <w:r>
              <w:rPr>
                <w:rFonts w:ascii="仿宋" w:eastAsia="仿宋" w:hAnsi="仿宋" w:hint="eastAsia"/>
                <w:b/>
                <w:bCs/>
                <w:sz w:val="24"/>
              </w:rPr>
              <w:t>单位名称</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衢州市实验学校教育集团</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单位性质</w:t>
            </w:r>
          </w:p>
        </w:tc>
        <w:tc>
          <w:tcPr>
            <w:tcW w:w="2608" w:type="dxa"/>
            <w:gridSpan w:val="3"/>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全额拨款事业单位</w:t>
            </w:r>
          </w:p>
        </w:tc>
      </w:tr>
      <w:tr w:rsidR="00BE5766" w:rsidTr="00A9047E">
        <w:trPr>
          <w:trHeight w:val="434"/>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联系地址</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衢州市</w:t>
            </w:r>
            <w:proofErr w:type="gramStart"/>
            <w:r>
              <w:rPr>
                <w:rFonts w:ascii="仿宋" w:eastAsia="仿宋" w:hAnsi="仿宋" w:hint="eastAsia"/>
                <w:sz w:val="24"/>
              </w:rPr>
              <w:t>讲舍街26号</w:t>
            </w:r>
            <w:proofErr w:type="gramEnd"/>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邮编</w:t>
            </w:r>
          </w:p>
        </w:tc>
        <w:tc>
          <w:tcPr>
            <w:tcW w:w="2608" w:type="dxa"/>
            <w:gridSpan w:val="3"/>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324000</w:t>
            </w:r>
          </w:p>
        </w:tc>
      </w:tr>
      <w:tr w:rsidR="00BE5766" w:rsidTr="00A9047E">
        <w:trPr>
          <w:cantSplit/>
          <w:trHeight w:val="662"/>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岗位</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专业要求</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招考人数</w:t>
            </w:r>
          </w:p>
        </w:tc>
        <w:tc>
          <w:tcPr>
            <w:tcW w:w="901"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年龄要求</w:t>
            </w:r>
          </w:p>
        </w:tc>
        <w:tc>
          <w:tcPr>
            <w:tcW w:w="780"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学历要求</w:t>
            </w:r>
          </w:p>
        </w:tc>
        <w:tc>
          <w:tcPr>
            <w:tcW w:w="927"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bCs/>
                <w:sz w:val="24"/>
              </w:rPr>
            </w:pPr>
            <w:r>
              <w:rPr>
                <w:rFonts w:ascii="仿宋" w:eastAsia="仿宋" w:hAnsi="仿宋" w:hint="eastAsia"/>
                <w:b/>
                <w:bCs/>
                <w:sz w:val="24"/>
              </w:rPr>
              <w:t>其他要求</w:t>
            </w:r>
          </w:p>
        </w:tc>
      </w:tr>
      <w:tr w:rsidR="00BE5766" w:rsidTr="00A9047E">
        <w:trPr>
          <w:cantSplit/>
          <w:trHeight w:val="984"/>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语文</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rPr>
                <w:rFonts w:ascii="仿宋" w:eastAsia="仿宋" w:hAnsi="仿宋"/>
                <w:sz w:val="24"/>
              </w:rPr>
            </w:pPr>
            <w:r>
              <w:rPr>
                <w:rFonts w:ascii="仿宋" w:eastAsia="仿宋" w:hAnsi="仿宋" w:hint="eastAsia"/>
                <w:sz w:val="24"/>
              </w:rPr>
              <w:t>汉语言文学、汉语教育、语文教育、汉语、汉语言、对外汉语、汉语国际教育、汉语言、应用语言学、文艺学、初等教育、小学教育等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9</w:t>
            </w:r>
          </w:p>
        </w:tc>
        <w:tc>
          <w:tcPr>
            <w:tcW w:w="901" w:type="dxa"/>
            <w:vMerge w:val="restart"/>
            <w:tcBorders>
              <w:top w:val="single" w:sz="4" w:space="0" w:color="auto"/>
              <w:left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30周岁以下</w:t>
            </w:r>
          </w:p>
        </w:tc>
        <w:tc>
          <w:tcPr>
            <w:tcW w:w="780" w:type="dxa"/>
            <w:vMerge w:val="restart"/>
            <w:tcBorders>
              <w:top w:val="single" w:sz="4" w:space="0" w:color="auto"/>
              <w:left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本科及以上</w:t>
            </w:r>
          </w:p>
        </w:tc>
        <w:tc>
          <w:tcPr>
            <w:tcW w:w="927" w:type="dxa"/>
            <w:vMerge w:val="restart"/>
            <w:tcBorders>
              <w:top w:val="single" w:sz="4" w:space="0" w:color="auto"/>
              <w:left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“双一流”高校、“211”及“985”高校2020届全日制本科及以上学历的非师范类毕业生可以暂时不提供教师资格证</w:t>
            </w:r>
          </w:p>
        </w:tc>
      </w:tr>
      <w:tr w:rsidR="00BE5766" w:rsidTr="00A9047E">
        <w:trPr>
          <w:cantSplit/>
          <w:trHeight w:val="934"/>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数学</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rPr>
                <w:rFonts w:ascii="仿宋" w:eastAsia="仿宋" w:hAnsi="仿宋"/>
                <w:sz w:val="24"/>
              </w:rPr>
            </w:pPr>
            <w:r>
              <w:rPr>
                <w:rFonts w:ascii="仿宋" w:eastAsia="仿宋" w:hAnsi="仿宋" w:hint="eastAsia"/>
                <w:sz w:val="24"/>
              </w:rPr>
              <w:t>数学与应用数学、数学教育、初等教育、小学教育、基础教学、计算数学、应用数学、概率论与数理设计、信息与计算科学等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3</w:t>
            </w:r>
          </w:p>
        </w:tc>
        <w:tc>
          <w:tcPr>
            <w:tcW w:w="901"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780"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927"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r>
      <w:tr w:rsidR="00BE5766" w:rsidTr="00A9047E">
        <w:trPr>
          <w:cantSplit/>
          <w:trHeight w:val="1054"/>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科学</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left"/>
              <w:rPr>
                <w:rFonts w:ascii="仿宋" w:eastAsia="仿宋" w:hAnsi="仿宋"/>
                <w:sz w:val="24"/>
              </w:rPr>
            </w:pPr>
            <w:r>
              <w:rPr>
                <w:rFonts w:ascii="仿宋" w:eastAsia="仿宋" w:hAnsi="仿宋" w:hint="eastAsia"/>
                <w:sz w:val="24"/>
              </w:rPr>
              <w:t>科学教育、物理学、物理教育、应用物理学、化学、化学教育、应用化学、化学生物学、生物科学、应用生物教育、生物科学与生物技术、生物技术、生态学、生物信息学、声学、核物理、地理科学、教育学（科学方向）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3</w:t>
            </w:r>
          </w:p>
        </w:tc>
        <w:tc>
          <w:tcPr>
            <w:tcW w:w="901"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780"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927"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r>
      <w:tr w:rsidR="00BE5766" w:rsidTr="00A9047E">
        <w:trPr>
          <w:cantSplit/>
          <w:trHeight w:val="718"/>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英语</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left"/>
              <w:rPr>
                <w:rFonts w:ascii="仿宋" w:eastAsia="仿宋" w:hAnsi="仿宋"/>
                <w:sz w:val="24"/>
              </w:rPr>
            </w:pPr>
            <w:r>
              <w:rPr>
                <w:rFonts w:ascii="仿宋" w:eastAsia="仿宋" w:hAnsi="仿宋" w:hint="eastAsia"/>
                <w:sz w:val="24"/>
              </w:rPr>
              <w:t>英语教育、应用英语、英语、翻译、商务英语、英语语言文学等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3</w:t>
            </w:r>
          </w:p>
        </w:tc>
        <w:tc>
          <w:tcPr>
            <w:tcW w:w="901"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780"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927"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r>
      <w:tr w:rsidR="00BE5766" w:rsidTr="00A9047E">
        <w:trPr>
          <w:cantSplit/>
          <w:trHeight w:val="920"/>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体育</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left"/>
              <w:rPr>
                <w:rFonts w:ascii="仿宋" w:eastAsia="仿宋" w:hAnsi="仿宋"/>
                <w:sz w:val="24"/>
              </w:rPr>
            </w:pPr>
            <w:r>
              <w:rPr>
                <w:rFonts w:ascii="仿宋" w:eastAsia="仿宋" w:hAnsi="仿宋" w:hint="eastAsia"/>
                <w:sz w:val="24"/>
              </w:rPr>
              <w:t>体育学、体育教育、竞技体育、运动训练、社会体育、体育保健、社会体育指导与管理、体育教育训练学等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6</w:t>
            </w:r>
          </w:p>
        </w:tc>
        <w:tc>
          <w:tcPr>
            <w:tcW w:w="901"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780"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927"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r>
      <w:tr w:rsidR="00BE5766" w:rsidTr="00A9047E">
        <w:trPr>
          <w:cantSplit/>
          <w:trHeight w:val="731"/>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美术</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rPr>
                <w:rFonts w:ascii="仿宋" w:eastAsia="仿宋" w:hAnsi="仿宋"/>
                <w:sz w:val="24"/>
              </w:rPr>
            </w:pPr>
            <w:r>
              <w:rPr>
                <w:rFonts w:ascii="仿宋" w:eastAsia="仿宋" w:hAnsi="仿宋" w:hint="eastAsia"/>
                <w:sz w:val="24"/>
              </w:rPr>
              <w:t>美术学、书法学、美术教育、版画、雕塑、设计艺术学、摄影等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4</w:t>
            </w:r>
          </w:p>
        </w:tc>
        <w:tc>
          <w:tcPr>
            <w:tcW w:w="901"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780"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927"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r>
      <w:tr w:rsidR="00BE5766" w:rsidTr="00A9047E">
        <w:trPr>
          <w:cantSplit/>
          <w:trHeight w:val="753"/>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音乐</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left"/>
              <w:rPr>
                <w:rFonts w:ascii="仿宋" w:eastAsia="仿宋" w:hAnsi="仿宋"/>
                <w:b/>
                <w:sz w:val="24"/>
              </w:rPr>
            </w:pPr>
            <w:r>
              <w:rPr>
                <w:rFonts w:ascii="仿宋" w:eastAsia="仿宋" w:hAnsi="仿宋" w:hint="eastAsia"/>
                <w:sz w:val="24"/>
              </w:rPr>
              <w:t>音乐学、音乐教育、舞蹈教育、艺术教育、音乐表演、舞蹈表演、舞蹈学、舞蹈编导等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3</w:t>
            </w:r>
          </w:p>
        </w:tc>
        <w:tc>
          <w:tcPr>
            <w:tcW w:w="901" w:type="dxa"/>
            <w:vMerge/>
            <w:tcBorders>
              <w:left w:val="single" w:sz="4" w:space="0" w:color="auto"/>
              <w:right w:val="single" w:sz="4" w:space="0" w:color="auto"/>
            </w:tcBorders>
            <w:vAlign w:val="center"/>
          </w:tcPr>
          <w:p w:rsidR="00BE5766" w:rsidRDefault="00BE5766" w:rsidP="00A9047E">
            <w:pPr>
              <w:jc w:val="center"/>
              <w:rPr>
                <w:rFonts w:ascii="仿宋" w:eastAsia="仿宋" w:hAnsi="仿宋"/>
                <w:b/>
                <w:sz w:val="24"/>
              </w:rPr>
            </w:pPr>
          </w:p>
        </w:tc>
        <w:tc>
          <w:tcPr>
            <w:tcW w:w="780" w:type="dxa"/>
            <w:vMerge/>
            <w:tcBorders>
              <w:left w:val="single" w:sz="4" w:space="0" w:color="auto"/>
              <w:right w:val="single" w:sz="4" w:space="0" w:color="auto"/>
            </w:tcBorders>
            <w:vAlign w:val="center"/>
          </w:tcPr>
          <w:p w:rsidR="00BE5766" w:rsidRDefault="00BE5766" w:rsidP="00A9047E">
            <w:pPr>
              <w:jc w:val="center"/>
              <w:rPr>
                <w:rFonts w:ascii="仿宋" w:eastAsia="仿宋" w:hAnsi="仿宋"/>
                <w:b/>
                <w:sz w:val="24"/>
              </w:rPr>
            </w:pPr>
          </w:p>
        </w:tc>
        <w:tc>
          <w:tcPr>
            <w:tcW w:w="927" w:type="dxa"/>
            <w:vMerge/>
            <w:tcBorders>
              <w:left w:val="single" w:sz="4" w:space="0" w:color="auto"/>
              <w:right w:val="single" w:sz="4" w:space="0" w:color="auto"/>
            </w:tcBorders>
            <w:vAlign w:val="center"/>
          </w:tcPr>
          <w:p w:rsidR="00BE5766" w:rsidRDefault="00BE5766" w:rsidP="00A9047E">
            <w:pPr>
              <w:jc w:val="center"/>
              <w:rPr>
                <w:rFonts w:ascii="仿宋" w:eastAsia="仿宋" w:hAnsi="仿宋"/>
                <w:b/>
                <w:sz w:val="24"/>
              </w:rPr>
            </w:pPr>
          </w:p>
        </w:tc>
      </w:tr>
      <w:tr w:rsidR="00BE5766" w:rsidTr="00A9047E">
        <w:trPr>
          <w:cantSplit/>
          <w:trHeight w:val="1404"/>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中小学</w:t>
            </w:r>
          </w:p>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信息</w:t>
            </w:r>
          </w:p>
        </w:tc>
        <w:tc>
          <w:tcPr>
            <w:tcW w:w="5084"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left"/>
              <w:rPr>
                <w:rFonts w:ascii="仿宋" w:eastAsia="仿宋" w:hAnsi="仿宋"/>
                <w:sz w:val="24"/>
              </w:rPr>
            </w:pPr>
            <w:r>
              <w:rPr>
                <w:rFonts w:ascii="仿宋" w:eastAsia="仿宋" w:hAnsi="仿宋" w:hint="eastAsia"/>
                <w:sz w:val="24"/>
              </w:rPr>
              <w:t>计算机科学教育、计算机科学与技术、计算机及应用、计算机应用技术、计算机网络技术、计算机多媒体技术、计算机系统维护、计算机信息管理、网络系统管理、现代教育技术、计算机教育、摄影摄像技术、音像技术、教育技术学、物联网工程、多媒体与网络技术、计算机应用及安全管理、网络技术与信息处理、软件工程、通信技术、计算机通信、电子与信息技术、数字媒体技术、计算机软件与理论、计算机系统结构、信息安全、电子与计算机过程等</w:t>
            </w:r>
          </w:p>
        </w:tc>
        <w:tc>
          <w:tcPr>
            <w:tcW w:w="77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sz w:val="24"/>
              </w:rPr>
            </w:pPr>
            <w:r>
              <w:rPr>
                <w:rFonts w:ascii="仿宋" w:eastAsia="仿宋" w:hAnsi="仿宋" w:hint="eastAsia"/>
                <w:sz w:val="24"/>
              </w:rPr>
              <w:t>2</w:t>
            </w:r>
          </w:p>
        </w:tc>
        <w:tc>
          <w:tcPr>
            <w:tcW w:w="901"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780" w:type="dxa"/>
            <w:vMerge/>
            <w:tcBorders>
              <w:left w:val="single" w:sz="4" w:space="0" w:color="auto"/>
              <w:right w:val="single" w:sz="4" w:space="0" w:color="auto"/>
            </w:tcBorders>
            <w:vAlign w:val="center"/>
          </w:tcPr>
          <w:p w:rsidR="00BE5766" w:rsidRDefault="00BE5766" w:rsidP="00A9047E">
            <w:pPr>
              <w:jc w:val="center"/>
              <w:rPr>
                <w:rFonts w:ascii="仿宋" w:eastAsia="仿宋" w:hAnsi="仿宋"/>
                <w:sz w:val="24"/>
              </w:rPr>
            </w:pPr>
          </w:p>
        </w:tc>
        <w:tc>
          <w:tcPr>
            <w:tcW w:w="927" w:type="dxa"/>
            <w:vMerge/>
            <w:tcBorders>
              <w:left w:val="single" w:sz="4" w:space="0" w:color="auto"/>
              <w:right w:val="single" w:sz="4" w:space="0" w:color="auto"/>
            </w:tcBorders>
            <w:vAlign w:val="center"/>
          </w:tcPr>
          <w:p w:rsidR="00BE5766" w:rsidRDefault="00BE5766" w:rsidP="00A9047E">
            <w:pPr>
              <w:spacing w:line="240" w:lineRule="exact"/>
              <w:rPr>
                <w:rFonts w:ascii="宋体" w:hAnsi="宋体" w:cs="宋体"/>
                <w:b/>
                <w:sz w:val="24"/>
              </w:rPr>
            </w:pPr>
          </w:p>
        </w:tc>
      </w:tr>
      <w:tr w:rsidR="00BE5766" w:rsidTr="00A9047E">
        <w:trPr>
          <w:cantSplit/>
          <w:trHeight w:val="807"/>
          <w:jc w:val="center"/>
        </w:trPr>
        <w:tc>
          <w:tcPr>
            <w:tcW w:w="1219" w:type="dxa"/>
            <w:tcBorders>
              <w:top w:val="single" w:sz="4" w:space="0" w:color="auto"/>
              <w:left w:val="single" w:sz="4" w:space="0" w:color="auto"/>
              <w:bottom w:val="single" w:sz="4" w:space="0" w:color="auto"/>
              <w:right w:val="single" w:sz="4" w:space="0" w:color="auto"/>
            </w:tcBorders>
            <w:vAlign w:val="center"/>
          </w:tcPr>
          <w:p w:rsidR="00BE5766" w:rsidRDefault="00BE5766" w:rsidP="00A9047E">
            <w:pPr>
              <w:autoSpaceDE w:val="0"/>
              <w:autoSpaceDN w:val="0"/>
              <w:adjustRightInd w:val="0"/>
              <w:spacing w:line="280" w:lineRule="exact"/>
              <w:jc w:val="center"/>
              <w:rPr>
                <w:rFonts w:ascii="仿宋" w:eastAsia="仿宋" w:hAnsi="仿宋"/>
                <w:b/>
                <w:bCs/>
                <w:sz w:val="24"/>
              </w:rPr>
            </w:pPr>
            <w:r>
              <w:rPr>
                <w:rFonts w:ascii="仿宋" w:eastAsia="仿宋" w:hAnsi="仿宋" w:hint="eastAsia"/>
                <w:b/>
                <w:bCs/>
                <w:sz w:val="24"/>
              </w:rPr>
              <w:t>合计</w:t>
            </w:r>
          </w:p>
        </w:tc>
        <w:tc>
          <w:tcPr>
            <w:tcW w:w="8471" w:type="dxa"/>
            <w:gridSpan w:val="5"/>
            <w:tcBorders>
              <w:top w:val="single" w:sz="4" w:space="0" w:color="auto"/>
              <w:left w:val="single" w:sz="4" w:space="0" w:color="auto"/>
              <w:bottom w:val="single" w:sz="4" w:space="0" w:color="auto"/>
              <w:right w:val="single" w:sz="4" w:space="0" w:color="auto"/>
            </w:tcBorders>
            <w:vAlign w:val="center"/>
          </w:tcPr>
          <w:p w:rsidR="00BE5766" w:rsidRDefault="00BE5766" w:rsidP="00A9047E">
            <w:pPr>
              <w:jc w:val="center"/>
              <w:rPr>
                <w:rFonts w:ascii="仿宋" w:eastAsia="仿宋" w:hAnsi="仿宋"/>
                <w:b/>
                <w:sz w:val="24"/>
              </w:rPr>
            </w:pPr>
            <w:r>
              <w:rPr>
                <w:rFonts w:ascii="仿宋" w:eastAsia="仿宋" w:hAnsi="仿宋" w:hint="eastAsia"/>
                <w:b/>
                <w:sz w:val="24"/>
              </w:rPr>
              <w:t>33人</w:t>
            </w:r>
          </w:p>
        </w:tc>
      </w:tr>
      <w:bookmarkEnd w:id="0"/>
    </w:tbl>
    <w:p w:rsidR="00975D93" w:rsidRDefault="00975D93" w:rsidP="00BE5766"/>
    <w:sectPr w:rsidR="00975D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0F3" w:rsidRDefault="002020F3" w:rsidP="00BE5766">
      <w:r>
        <w:separator/>
      </w:r>
    </w:p>
  </w:endnote>
  <w:endnote w:type="continuationSeparator" w:id="0">
    <w:p w:rsidR="002020F3" w:rsidRDefault="002020F3" w:rsidP="00BE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0F3" w:rsidRDefault="002020F3" w:rsidP="00BE5766">
      <w:r>
        <w:separator/>
      </w:r>
    </w:p>
  </w:footnote>
  <w:footnote w:type="continuationSeparator" w:id="0">
    <w:p w:rsidR="002020F3" w:rsidRDefault="002020F3" w:rsidP="00BE5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333"/>
    <w:rsid w:val="002020F3"/>
    <w:rsid w:val="002B0333"/>
    <w:rsid w:val="00975D93"/>
    <w:rsid w:val="00BE5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7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7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5766"/>
    <w:rPr>
      <w:sz w:val="18"/>
      <w:szCs w:val="18"/>
    </w:rPr>
  </w:style>
  <w:style w:type="paragraph" w:styleId="a4">
    <w:name w:val="footer"/>
    <w:basedOn w:val="a"/>
    <w:link w:val="Char0"/>
    <w:uiPriority w:val="99"/>
    <w:unhideWhenUsed/>
    <w:rsid w:val="00BE57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576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76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E576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E5766"/>
    <w:rPr>
      <w:sz w:val="18"/>
      <w:szCs w:val="18"/>
    </w:rPr>
  </w:style>
  <w:style w:type="paragraph" w:styleId="a4">
    <w:name w:val="footer"/>
    <w:basedOn w:val="a"/>
    <w:link w:val="Char0"/>
    <w:uiPriority w:val="99"/>
    <w:unhideWhenUsed/>
    <w:rsid w:val="00BE576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E57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2019-11-20T04:59:00Z</dcterms:created>
  <dcterms:modified xsi:type="dcterms:W3CDTF">2019-11-20T05:00:00Z</dcterms:modified>
</cp:coreProperties>
</file>