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5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2030"/>
        <w:gridCol w:w="491"/>
        <w:gridCol w:w="518"/>
        <w:gridCol w:w="532"/>
        <w:gridCol w:w="464"/>
        <w:gridCol w:w="1200"/>
        <w:gridCol w:w="2181"/>
        <w:gridCol w:w="2525"/>
        <w:gridCol w:w="2190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  <w:jc w:val="center"/>
        </w:trPr>
        <w:tc>
          <w:tcPr>
            <w:tcW w:w="147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36"/>
                <w:szCs w:val="36"/>
              </w:rPr>
              <w:t>夏县2019年教科系统公开招聘部分事业单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36"/>
                <w:szCs w:val="36"/>
              </w:rPr>
              <w:t>位工作人员岗位一览表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210" cy="285750"/>
                  <wp:effectExtent l="0" t="0" r="0" b="0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其它条件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城关中心校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城关中心校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普通全日制硕士研究生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及以上学历、学位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庙前中心校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庙前西村幼儿园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裴介中心校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裴介中心校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服务基层项目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水头中心校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水头中心校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服务基层项目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胡张中心校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禹王中心校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尉郭中心校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南大里中心校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埝掌中心校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郭道中心校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泗交中心校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祁家河中心校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普通全日制专科及以上学历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具有幼儿教师资格证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限夏县户籍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夏县职业中学（语文）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语文教育、汉语言与文秘类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具有中等职业或高级中学及以上语文教师资格证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夏县职业中学（数学）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数学、数学教育、数学与应用数学、应用数学、基础数学等专业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具有中等职业或高级中学及以上数学教师资格证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夏县职业中学（英语）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英语教育及与英语相关专业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具有中等职业或高级中学及以上英语教师资格证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夏县职业中学（美术）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美术教育、美术、绘画、油画等专业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中等职业或高级中学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及以上美术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夏县教育科技局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夏县职业中学(计算机)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全额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 w:bidi="ar"/>
              </w:rPr>
              <w:t>周岁及以下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普通全日制本科及以上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中等职业或高级中学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计算机相关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教师资格证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rPr>
          <w:b/>
          <w:bCs/>
          <w:color w:val="auto"/>
          <w:sz w:val="36"/>
          <w:szCs w:val="36"/>
        </w:rPr>
        <w:sectPr>
          <w:footerReference r:id="rId3" w:type="default"/>
          <w:pgSz w:w="16838" w:h="11906" w:orient="landscape"/>
          <w:pgMar w:top="1474" w:right="1814" w:bottom="1247" w:left="1814" w:header="851" w:footer="1191" w:gutter="0"/>
          <w:pgNumType w:fmt="numberInDash"/>
          <w:cols w:space="0" w:num="1"/>
          <w:docGrid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670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55994"/>
    <w:rsid w:val="5FBD0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Administrator.SC-201910281525</dc:creator>
  <cp:lastModifiedBy>Administrator</cp:lastModifiedBy>
  <dcterms:modified xsi:type="dcterms:W3CDTF">2019-12-05T09:12:51Z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