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center"/>
        <w:textAlignment w:val="auto"/>
        <w:outlineLvl w:val="0"/>
        <w:rPr>
          <w:rFonts w:hint="eastAsia" w:ascii="方正大标宋简体" w:hAnsi="方正大标宋简体" w:eastAsia="方正大标宋简体" w:cs="方正大标宋简体"/>
          <w:b w:val="0"/>
          <w:bCs/>
          <w:color w:val="auto"/>
          <w:sz w:val="44"/>
          <w:szCs w:val="44"/>
          <w:shd w:val="clear" w:fill="FFFFFF"/>
        </w:rPr>
      </w:pPr>
      <w:bookmarkStart w:id="0" w:name="_GoBack"/>
      <w:bookmarkEnd w:id="0"/>
      <w:r>
        <w:rPr>
          <w:sz w:val="44"/>
        </w:rPr>
        <mc:AlternateContent>
          <mc:Choice Requires="wps">
            <w:drawing>
              <wp:anchor distT="0" distB="0" distL="114300" distR="114300" simplePos="0" relativeHeight="251658240" behindDoc="0" locked="0" layoutInCell="1" allowOverlap="1">
                <wp:simplePos x="0" y="0"/>
                <wp:positionH relativeFrom="column">
                  <wp:posOffset>-36830</wp:posOffset>
                </wp:positionH>
                <wp:positionV relativeFrom="paragraph">
                  <wp:posOffset>-59055</wp:posOffset>
                </wp:positionV>
                <wp:extent cx="725805" cy="332740"/>
                <wp:effectExtent l="0" t="0" r="17145" b="10160"/>
                <wp:wrapNone/>
                <wp:docPr id="2" name="文本框 2"/>
                <wp:cNvGraphicFramePr/>
                <a:graphic xmlns:a="http://schemas.openxmlformats.org/drawingml/2006/main">
                  <a:graphicData uri="http://schemas.microsoft.com/office/word/2010/wordprocessingShape">
                    <wps:wsp>
                      <wps:cNvSpPr txBox="1"/>
                      <wps:spPr>
                        <a:xfrm>
                          <a:off x="1077595" y="855345"/>
                          <a:ext cx="725805" cy="3327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22"/>
                                <w:szCs w:val="22"/>
                                <w:lang w:eastAsia="zh-CN"/>
                              </w:rPr>
                            </w:pPr>
                            <w:r>
                              <w:rPr>
                                <w:rFonts w:hint="default" w:ascii="Times New Roman" w:hAnsi="Times New Roman" w:cs="Times New Roman"/>
                                <w:sz w:val="22"/>
                                <w:szCs w:val="22"/>
                              </w:rPr>
                              <w:t>附件</w:t>
                            </w:r>
                            <w:r>
                              <w:rPr>
                                <w:rFonts w:hint="default" w:ascii="Times New Roman" w:hAnsi="Times New Roman" w:cs="Times New Roman"/>
                                <w:sz w:val="22"/>
                                <w:szCs w:val="22"/>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pt;margin-top:-4.65pt;height:26.2pt;width:57.15pt;z-index:251658240;mso-width-relative:page;mso-height-relative:page;" fillcolor="#FFFFFF [3201]" filled="t" stroked="f" coordsize="21600,21600" o:gfxdata="UEsDBAoAAAAAAIdO4kAAAAAAAAAAAAAAAAAEAAAAZHJzL1BLAwQUAAAACACHTuJA9oe4INQAAAAI&#10;AQAADwAAAGRycy9kb3ducmV2LnhtbE2PzU7DMBCE70i8g7VI3Fo7tEUlZNMDElck2tKzGy9xhL2O&#10;bPf36XFPcFqNZjTzbbM6eyeOFNMQGKGaKhDEXTAD9wjbzftkCSJlzUa7wIRwoQSr9v6u0bUJJ/6k&#10;4zr3opRwqjWCzXmspUydJa/TNIzExfsO0etcZOylifpUyr2TT0o9S68HLgtWj/RmqftZHzzCrvfX&#10;3Vc1Rmu8m/PH9bLZhgHx8aFSryAynfNfGG74BR3awrQPBzZJOITJopDncl9mIG6+Wi5A7BHmswpk&#10;28j/D7S/UEsDBBQAAAAIAIdO4kBbGAh8QQIAAEsEAAAOAAAAZHJzL2Uyb0RvYy54bWytVM2O2jAQ&#10;vlfqO1i+l4RAFhYRVpQVVaVVdyVa9WwcGyI5Htc2JPQB2jfYUy+997l4jo4d2KU/p6o5ODOeL/Pz&#10;zUymN22tyF5YV4EuaL+XUiI0h7LSm4J+eL98NabEeaZLpkCLgh6Eozezly+mjZmIDLagSmEJOtFu&#10;0piCbr03kyRxfCtq5npghEajBFszj6rdJKVlDXqvVZKl6VXSgC2NBS6cw9vbzkhn0b+Ugvt7KZ3w&#10;RBUUc/PxtPFchzOZTdlkY5nZVvyUBvuHLGpWaQz65OqWeUZ2tvrDVV1xCw6k73GoE5Cy4iLWgNX0&#10;09+qWW2ZEbEWJMeZJ5rc/3PL3+0fLKnKgmaUaFZji46PX4/ffhy/fyFZoKcxboKolUGcb19Di20+&#10;3zu8DFW30tbhjfWQYE9Ho/w6p+RQ0HGeD4Z5x7NoPeFoH2X5OEUzR/tgkI2GsQ/Jsx9jnX8joCZB&#10;KKjFNkZ22f7OecwJoWdICOtAVeWyUioqdrNeKEv2DFu+jE+Ijp/8AlOaNAW9GuRp9KwhfN/hlEZ4&#10;KLsrL0i+XbcnLtZQHpAKC90sOcOXFWZ5x5x/YBaHB8cMF8Lf4yEVYBA4SZRswX7+233AY0/RSkmD&#10;w1hQ92nHrKBEvdXY7ev+EDkiPirDfJShYi8t60uL3tULwOL7uHqGRzHgvTqL0kL9EfdmHqKiiWmO&#10;sQvqz+LCdyuCe8fFfB5BOK+G+Tu9Mjy4DlRrmO88yCq2JNDUcXNiDyc20n7arrASl3pEPf8DZ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oe4INQAAAAIAQAADwAAAAAAAAABACAAAAAiAAAAZHJz&#10;L2Rvd25yZXYueG1sUEsBAhQAFAAAAAgAh07iQFsYCHxBAgAASwQAAA4AAAAAAAAAAQAgAAAAIwEA&#10;AGRycy9lMm9Eb2MueG1sUEsFBgAAAAAGAAYAWQEAANYFAAAAAA==&#10;">
                <v:fill on="t" focussize="0,0"/>
                <v:stroke on="f" weight="0.5pt"/>
                <v:imagedata o:title=""/>
                <o:lock v:ext="edit" aspectratio="f"/>
                <v:textbox>
                  <w:txbxContent>
                    <w:p>
                      <w:pPr>
                        <w:rPr>
                          <w:rFonts w:hint="default" w:ascii="Times New Roman" w:hAnsi="Times New Roman" w:cs="Times New Roman" w:eastAsiaTheme="minorEastAsia"/>
                          <w:sz w:val="22"/>
                          <w:szCs w:val="22"/>
                          <w:lang w:eastAsia="zh-CN"/>
                        </w:rPr>
                      </w:pPr>
                      <w:r>
                        <w:rPr>
                          <w:rFonts w:hint="default" w:ascii="Times New Roman" w:hAnsi="Times New Roman" w:cs="Times New Roman"/>
                          <w:sz w:val="22"/>
                          <w:szCs w:val="22"/>
                        </w:rPr>
                        <w:t>附件</w:t>
                      </w:r>
                      <w:r>
                        <w:rPr>
                          <w:rFonts w:hint="default" w:ascii="Times New Roman" w:hAnsi="Times New Roman" w:cs="Times New Roman"/>
                          <w:sz w:val="22"/>
                          <w:szCs w:val="22"/>
                          <w:lang w:val="en-US" w:eastAsia="zh-CN"/>
                        </w:rPr>
                        <w:t>4</w:t>
                      </w:r>
                    </w:p>
                  </w:txbxContent>
                </v:textbox>
              </v:shape>
            </w:pict>
          </mc:Fallback>
        </mc:AlternateContent>
      </w:r>
      <w:r>
        <w:rPr>
          <w:rFonts w:hint="eastAsia" w:ascii="方正大标宋简体" w:hAnsi="方正大标宋简体" w:eastAsia="方正大标宋简体" w:cs="方正大标宋简体"/>
          <w:b w:val="0"/>
          <w:bCs/>
          <w:color w:val="auto"/>
          <w:sz w:val="44"/>
          <w:szCs w:val="44"/>
          <w:shd w:val="clear" w:fill="FFFFFF"/>
          <w:lang w:eastAsia="zh-CN"/>
        </w:rPr>
        <w:t>“</w:t>
      </w:r>
      <w:r>
        <w:rPr>
          <w:rFonts w:hint="eastAsia" w:ascii="方正大标宋简体" w:hAnsi="方正大标宋简体" w:eastAsia="方正大标宋简体" w:cs="方正大标宋简体"/>
          <w:b w:val="0"/>
          <w:bCs/>
          <w:color w:val="auto"/>
          <w:sz w:val="44"/>
          <w:szCs w:val="44"/>
          <w:shd w:val="clear" w:fill="FFFFFF"/>
        </w:rPr>
        <w:t>双一流”建设学科名单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Style w:val="8"/>
          <w:rFonts w:hint="eastAsia" w:ascii="黑体" w:hAnsi="黑体" w:eastAsia="黑体" w:cs="黑体"/>
          <w:color w:val="auto"/>
          <w:sz w:val="24"/>
          <w:szCs w:val="24"/>
          <w:shd w:val="clear" w:fill="FFFFFF"/>
        </w:rPr>
      </w:pPr>
      <w:r>
        <w:rPr>
          <w:rStyle w:val="8"/>
          <w:rFonts w:hint="eastAsia" w:ascii="黑体" w:hAnsi="黑体" w:eastAsia="黑体" w:cs="黑体"/>
          <w:color w:val="auto"/>
          <w:sz w:val="24"/>
          <w:szCs w:val="24"/>
          <w:shd w:val="clear" w:fill="FFFFFF"/>
        </w:rPr>
        <w:t>（按学校代码排序）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Style w:val="8"/>
          <w:rFonts w:hint="eastAsia" w:ascii="黑体" w:hAnsi="黑体" w:eastAsia="黑体" w:cs="黑体"/>
          <w:color w:val="auto"/>
          <w:sz w:val="24"/>
          <w:szCs w:val="24"/>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北京大学：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中国人民大学：哲学、理论经济学、应用经济学、法学、政治学、社会学、马克思主义理论、新闻传播学、中国史、统计学、工商管理、农林经济管理、公共管理、图书情报与档案管理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清华大学：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北京交通大学：系统科学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北京工业大学：土木工程（自定）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北京航空航天大学：力学、仪器科学与技术、材料科学与工程、控制科学与工程、计算机科学与技术、航空宇航科学与技术、软件工程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北京理工大学：材料科学与工程、控制科学与工程、兵器科学与技术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北京科技大学：科学技术史、材料科学与工程、冶金工程、矿业工程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北京化工大学：化学工程与技术（自定）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北京邮电大学：信息与通信工程、计算机科学与技术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中国农业大学：生物学、农业工程、食品科学与工程、作物学、农业资源与环境、植物保护、畜牧学、兽医学、草学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北京林业大学：风景园林学、林学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北京协和医学院：生物学、生物医学工程、临床医学、药学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北京中医药大学：中医学、中西医结合、中药学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北京师范大学：教育学、心理学、中国语言文学、中国史、数学、地理学、系统科学、生态学、环境科学与工程、戏剧与影视学、语言学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首都师范大学：数学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北京外国语大学：外国语言文学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中国传媒大学：新闻传播学、戏剧与影视学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中央财经大学：应用经济学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对外经济贸易大学：应用经济学（自定）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外交学院：政治学（自定）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中国人民公安大学：公安学（自定）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北京体育大学：体育学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中央音乐学院：音乐与舞蹈学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中国音乐学院：音乐与舞蹈学（自定）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中央美术学院：美术学、设计学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中央戏剧学院：戏剧与影视学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中央民族大学：民族学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中国政法大学：法学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南开大学：世界史、数学、化学、统计学、材料科学与工程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天津大学：化学、材料科学与工程、化学工程与技术、管理科学与工程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天津工业大学：纺织科学与工程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天津医科大学：临床医学（自定）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天津中医药大学：中药学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华北电力大学：电气工程（自定）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河北工业大学：电气工程（自定）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太原理工大学：化学工程与技术（自定）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内蒙古大学：生物学（自定）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辽宁大学：应用经济学（自定）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大连理工大学：化学、工程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东北大学：控制科学与工程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大连海事大学：交通运输工程（自定）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吉林大学：考古学、数学、物理学、化学、材料科学与工程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延边大学：外国语言文学（自定）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东北师范大学：马克思主义理论、世界史、数学、化学、统计学、材料科学与工程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哈尔滨工业大学：力学、机械工程、材料科学与工程、控制科学与工程、计算机科学与技术、土木工程、环境科学与工程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哈尔滨工程大学：船舶与海洋工程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东北农业大学：畜牧学（自定）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东北林业大学：林业工程、林学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复旦大学：哲学、政治学、中国语言文学、中国史、数学、物理学、化学、生物学、生态学、材料科学与工程、环境科学与工程、基础医学、临床医学、中西医结合、药学、机械及航空航天和制造工程、现代语言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同济大学：建筑学、土木工程、测绘科学与技术、环境科学与工程、城乡规划学、风景园林学、艺术与设计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上海交通大学：数学、化学、生物学、机械工程、材料科学与工程、信息与通信工程、控制科学与工程、计算机科学与技术、土木工程、化学工程与技术、船舶与海洋工程、基础医学、临床医学、口腔医学、药学、电子电气工程、商业与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华东理工大学：化学、材料科学与工程、化学工程与技术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东华大学：纺织科学与工程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上海海洋大学：水产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上海中医药大学：中医学、中药学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华东师范大学：教育学、生态学、统计学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上海外国语大学：外国语言文学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上海财经大学：统计学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上海体育学院：体育学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上海音乐学院：音乐与舞蹈学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上海大学：机械工程（自定）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南京大学：哲学、中国语言文学、外国语言文学、物理学、化学、天文学、大气科学、地质学、生物学、材料科学与工程、计算机科学与技术、化学工程与技术、矿业工程、环境科学与工程、图书情报与档案管理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苏州大学：材料科学与工程（自定）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东南大学：材料科学与工程、电子科学与技术、信息与通信工程、控制科学与工程、计算机科学与技术、建筑学、土木工程、交通运输工程、生物医学工程、风景园林学、艺术学理论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南京航空航天大学：力学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南京理工大学：兵器科学与技术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中国矿业大学：安全科学与工程、矿业工程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南京邮电大学：电子科学与技术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河海大学：水利工程、环境科学与工程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江南大学：轻工技术与工程、食品科学与工程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南京林业大学：林业工程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南京信息工程大学：大气科学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南京农业大学：作物学、农业资源与环境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南京中医药大学：中药学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中国药科大学：中药学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南京师范大学：地理学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浙江大学：化学、生物学、生态学、机械工程、光学工程、材料科学与工程、电气工程、控制科学与工程、计算机科学与技术、农业工程、环境科学与工程、软件工程、园艺学、植物保护、基础医学、药学、管理科学与工程、农林经济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中国美术学院：美术学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安徽大学：材料科学与工程（自定）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中国科学技术大学：数学、物理学、化学、天文学、地球物理学、生物学、科学技术史、材料科学与工程、计算机科学与技术、核科学与技术、安全科学与工程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合肥工业大学：管理科学与工程（自定）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厦门大学：化学、海洋科学、生物学、生态学、统计学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福州大学：化学（自定）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南昌大学：材料科学与工程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山东大学：数学、化学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中国海洋大学：海洋科学、水产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中国石油大学（华东）：石油与天然气工程、地质资源与地质工程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郑州大学：临床医学（自定）、材料科学与工程（自定）、化学（自定）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河南大学：生物学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武汉大学：理论经济学、法学、马克思主义理论、化学、地球物理学、生物学、测绘科学与技术、矿业工程、口腔医学、图书情报与档案管理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华中科技大学：机械工程、光学工程、材料科学与工程、动力工程及工程热物理、电气工程、计算机科学与技术、基础医学、公共卫生与预防医学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中国地质大学（武汉）：地质学、地质资源与地质工程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武汉理工大学：材料科学与工程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华中农业大学：生物学、园艺学、畜牧学、兽医学、农林经济管理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华中师范大学：政治学、中国语言文学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中南财经政法大学：法学（自定）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湖南大学：化学、机械工程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中南大学：数学、材料科学与工程、冶金工程、矿业工程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湖南师范大学：外国语言文学（自定）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中山大学：哲学、数学、化学、生物学、生态学、材料科学与工程、电子科学与技术、基础医学、临床医学、药学、工商管理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暨南大学：药学（自定）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华南理工大学：化学、材料科学与工程、轻工技术与工程、农学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广州中医药大学：中医学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华南师范大学：物理学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海南大学：作物学（自定）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广西大学：土木工程（自定）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四川大学：数学、化学、材料科学与工程、基础医学、口腔医学、护理学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重庆大学：机械工程（自定）、电气工程（自定）、土木工程（自定）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西南交通大学：交通运输工程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电子科技大学：电子科学与技术、信息与通信工程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西南石油大学：石油与天然气工程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成都理工大学：地质学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四川农业大学：作物学（自定）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成都中医药大学：中药学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西南大学：生物学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西南财经大学：应用经济学（自定）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贵州大学：植物保护（自定）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云南大学：民族学、生态学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西藏大学：生态学（自定）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西北大学：地质学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西安交通大学：力学、机械工程、材料科学与工程、动力工程及工程热物理、电气工程、信息与通信工程、管理科学与工程、工商管理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西北工业大学：机械工程、材料科学与工程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西安电子科技大学：信息与通信工程、计算机科学与技术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长安大学：交通运输工程（自定）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西北农林科技大学：农学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陕西师范大学：中国语言文学（自定）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兰州大学：化学、大气科学、生态学、草学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青海大学：生态学（自定）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宁夏大学：化学工程与技术（自定）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新疆大学：马克思主义理论（自定）、化学（自定）、计算机科学与技术（自定）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石河子大学：化学工程与技术（自定）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中国矿业大学（北京）：安全科学与工程、矿业工程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中国石油大学（北京）：石油与天然气工程、地质资源与地质工程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中国地质大学（北京）：地质学、地质资源与地质工程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宁波大学：力学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中国科学院大学：化学、材料科学与工程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国防科技大学：信息与通信工程、计算机科学与技术、航空宇航科学与技术、软件工程、管理科学与工程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第二军医大学：基础医学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第四军医大学：临床医学（自定）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注：1.不加（自定）标示的学科，是根据“双一流”建设专家委员会确定的标准而认定的学科；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2.加（自定）标示的学科，是根据“双一流”建设专家委员会建议由高校自主确定的学科；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3.高校建设方案中的自主建设学科按照专家委员会的咨询建议修改后由高校自行公布。</w:t>
      </w:r>
    </w:p>
    <w:p/>
    <w:sectPr>
      <w:footerReference r:id="rId3" w:type="default"/>
      <w:pgSz w:w="11906" w:h="16838"/>
      <w:pgMar w:top="1440" w:right="1587"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B055A"/>
    <w:rsid w:val="0CDB14E0"/>
    <w:rsid w:val="1EC74AD7"/>
    <w:rsid w:val="386D21EE"/>
    <w:rsid w:val="665B0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yperlink"/>
    <w:basedOn w:val="7"/>
    <w:uiPriority w:val="0"/>
    <w:rPr>
      <w:color w:val="0000FF"/>
      <w:u w:val="none"/>
    </w:rPr>
  </w:style>
  <w:style w:type="character" w:customStyle="1" w:styleId="11">
    <w:name w:val="hover17"/>
    <w:basedOn w:val="7"/>
    <w:qFormat/>
    <w:uiPriority w:val="0"/>
    <w:rPr>
      <w:color w:val="557EE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2019-10-09T02:53:00Z</dcterms:created>
  <dc:creator>天海苍茫</dc:creator>
  <cp:lastModifiedBy>天海苍茫</cp:lastModifiedBy>
  <cp:lastPrinted>2019-10-09T08:33:00Z</cp:lastPrinted>
  <dcterms:modified xsi:type="dcterms:W3CDTF">2019-10-10T04:20:49Z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