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2290FF"/>
          <w:spacing w:val="0"/>
          <w:sz w:val="36"/>
          <w:szCs w:val="36"/>
          <w:shd w:val="clear" w:fill="FFFFFF"/>
        </w:rPr>
      </w:pPr>
      <w:r>
        <w:rPr>
          <w:rFonts w:ascii="微软雅黑" w:hAnsi="微软雅黑" w:eastAsia="微软雅黑" w:cs="微软雅黑"/>
          <w:b/>
          <w:i w:val="0"/>
          <w:caps w:val="0"/>
          <w:color w:val="2290FF"/>
          <w:spacing w:val="0"/>
          <w:sz w:val="36"/>
          <w:szCs w:val="36"/>
          <w:shd w:val="clear" w:fill="FFFFFF"/>
        </w:rPr>
        <w:t>2020年泉州第五中学台商区分校赴省外高校专项公开招聘教师公告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rPr>
          <w:rFonts w:ascii="微软雅黑" w:hAnsi="微软雅黑" w:eastAsia="微软雅黑" w:cs="微软雅黑"/>
          <w:b w:val="0"/>
          <w:i w:val="0"/>
          <w:caps w:val="0"/>
          <w:color w:val="555555"/>
          <w:spacing w:val="0"/>
          <w:sz w:val="24"/>
          <w:szCs w:val="24"/>
        </w:rPr>
      </w:pPr>
      <w:r>
        <w:rPr>
          <w:rFonts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根据事业单位公开招聘工作人员有关规定及《关于做好</w:t>
      </w: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2019年全省中小学</w:t>
      </w:r>
      <w:bookmarkStart w:id="0" w:name="_GoBack"/>
      <w:bookmarkEnd w:id="0"/>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幼儿园新任教师公开招聘工作的通知》（闽教师〔2018〕96号），结合教学工作需要，泉州台商投资区管理委员会教育文体旅游局决定组织泉州第五中学台商区分校赴省外高校专项公开招聘教师，制定具体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ascii="黑体" w:hAnsi="宋体" w:eastAsia="黑体" w:cs="黑体"/>
          <w:b/>
          <w:i w:val="0"/>
          <w:caps w:val="0"/>
          <w:color w:val="555555"/>
          <w:spacing w:val="0"/>
          <w:kern w:val="0"/>
          <w:sz w:val="32"/>
          <w:szCs w:val="32"/>
          <w:bdr w:val="none" w:color="auto" w:sz="0" w:space="0"/>
          <w:shd w:val="clear" w:fill="FFFFFF"/>
          <w:vertAlign w:val="baseline"/>
          <w:lang w:val="en-US" w:eastAsia="zh-CN" w:bidi="ar"/>
        </w:rPr>
        <w:t>一、招聘单位、岗位、人数及资格要求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本次计划招聘6人，具体岗位及资格条件要求等详见《泉州第五中学台商区分校2020年赴省外专项公开招聘教师岗位信息表》（附件1）。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7"/>
        <w:jc w:val="left"/>
        <w:rPr>
          <w:rFonts w:hint="eastAsia" w:ascii="微软雅黑" w:hAnsi="微软雅黑" w:eastAsia="微软雅黑" w:cs="微软雅黑"/>
          <w:b w:val="0"/>
          <w:i w:val="0"/>
          <w:caps w:val="0"/>
          <w:color w:val="555555"/>
          <w:spacing w:val="0"/>
          <w:sz w:val="24"/>
          <w:szCs w:val="24"/>
        </w:rPr>
      </w:pPr>
      <w:r>
        <w:rPr>
          <w:rFonts w:hint="eastAsia" w:ascii="黑体" w:hAnsi="宋体" w:eastAsia="黑体" w:cs="黑体"/>
          <w:b/>
          <w:i w:val="0"/>
          <w:caps w:val="0"/>
          <w:color w:val="555555"/>
          <w:spacing w:val="0"/>
          <w:kern w:val="0"/>
          <w:sz w:val="32"/>
          <w:szCs w:val="32"/>
          <w:bdr w:val="none" w:color="auto" w:sz="0" w:space="0"/>
          <w:shd w:val="clear" w:fill="FFFFFF"/>
          <w:lang w:val="en-US" w:eastAsia="zh-CN" w:bidi="ar"/>
        </w:rPr>
        <w:t>二、招聘条件、要求及对象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2.坚持四项基本原则，热爱教育事业；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3.遵纪守法、品行端正，具有敬业奉献精神；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4.身体健康，符合福建省教师招考身体条件；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5.取得与招聘岗位相一致的教师资格证；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6.符合招聘岗位的各项资格条件。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有下列情形之一的不得报考：①曾因犯罪受过刑事处罚或曾被开除公职的人员；②在近三年内被认定有人事考试作弊行为的人员；③在最高人民法院失信被执行人查询平台查询有失信记录的人员；④现役军人；⑤普通高等院校全日制在读的非应届毕业生；⑥服务年限不满2年（含试用期）的公务员（含参照公务员法管理人员，下同），或招考时要求服务期且服务期未满的公务员，或公务员被辞退未满5年的；⑦法律法规规章规定不得报考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报考人员在报名时不是公务员，但在报名之后、聘用之前成为试用期内公务员的，取消其本次考试或聘用资格。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报考人员不得报考聘用后即构成回避关系的招聘岗位。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在职人员报考时应征得具有人事管理权限部门的同意，并在考试前提供同意报考证明。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（二）具体条件及要求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1.岗位要求的“全日制普通院校学历”，是指报考人员通过参加国家统一招生考试，录取于经教育部批准的具有普通高等教育招生资格且执行国家普通高等教育统一招生计划的高等院校，并按教学计划完成学业后所取得的国家承认的学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持香港、澳门、台湾地区或国外学历（位）报考的，需提供教育部留学服务中心出具的《香港、澳门特别行政区学历学位认证书》、《台湾地区学历学位认证书》、《国外学历学位认证书》或教育部留学服务中心出具的证明。学历认证由教育部留学服务中心负责，可登陆中国留学网(http://www.cscse.edu.cn)查询认证的有关要求和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2.报考人员取得的学历须在中国高等教育学生信息网（http://www.chsi.com.cn/）上可查询认证。招聘岗位有学位要求的，报考人员取得的学位须在中国学位与研究生教育信息网（http://www.cdgdc.edu.cn/）上可查询认证。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3.招聘岗位专业要求设置为具体专业名称的，所学专业与所列专业一致者方可报考;专业要求中的“××类”，以《福建省机关事业单位招考专业指导目录(2019年)》中“××类”所列专业的人员方可报考。报考人员专业的确认，以毕业证书所署的专业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4. 2020届应届毕业生的学历学位证书、教师资格证书、普通话等级证书、毕业生就业报到证等相关证书及其他报考人员的教师资格证书最迟须于2020年8月31日前提供；其他相关资格证书取得以及相关资历计算的截止时间为2019年12月  20日。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（三）招聘对象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1.取得全日制普通高校研究生学历、硕士及以上学位，且年龄不超过35周岁（即1983年12月30日以后出生）。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2.北京师范大学、华东师范大学、华中师范大学、东北师范大学、陕西师范大学、西南大学等六所教育部直属高校毕业生且年龄不超过35周岁（即1983年12月30日以后出生）。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eastAsia" w:ascii="黑体" w:hAnsi="宋体" w:eastAsia="黑体" w:cs="黑体"/>
          <w:b/>
          <w:i w:val="0"/>
          <w:caps w:val="0"/>
          <w:color w:val="555555"/>
          <w:spacing w:val="0"/>
          <w:kern w:val="0"/>
          <w:sz w:val="32"/>
          <w:szCs w:val="32"/>
          <w:bdr w:val="none" w:color="auto" w:sz="0" w:space="0"/>
          <w:shd w:val="clear" w:fill="FFFFFF"/>
          <w:vertAlign w:val="baseline"/>
          <w:lang w:val="en-US" w:eastAsia="zh-CN" w:bidi="ar"/>
        </w:rPr>
        <w:t>三、报名和资格审核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（一）网上预报名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1.报名时间：2019年12月12日-12月19日。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2.报名方式：报考人员填写《泉州第五中学台商区分校专项公开招聘公办教师报名登记表》（见附件2），并将《泉州第五中学台商区分校专项公开招聘教师报名登记表》及个人电子简历发送到招聘学校网上预报名电子邮箱。每人只能报考一个岗位，仅限参加一次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联系人：刘丽妮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联系电话：18850701072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电子邮箱：975884875@qq .com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报考人员必须严格按照招聘岗位要求的资格条件报名，完整、如实地填写《泉州第五中学台商区分校专项公开招聘公办教师报名登记表》要求填写的各项信息。其中，个人简历应从高中（中专）阶段填写起，按照高中（中专）阶段、大学阶段、工作阶段的顺序分阶段填写至今。对因信息填写不完整而影响资格判断的，将不予通过现场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（二）现场报名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华中师范大学考点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（1）报名时间：2019年12月20日上午。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（2）报名地点：待定。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3.现场报名所需材料（请将以下材料装袋，袋上写明毕业学校、姓名）：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（1）《泉州第五中学台商区分校专项公开招聘教师报名登记表》（附件2，用A4纸打印，并贴上近期一寸免冠相片，一式2份）；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（2）身份证、学历证书、学位证书及教师资格证（应届毕业生暂未发放的由所在学校提供可取得有关证书的证明，但2020年8月31日前必须提供所有原件，否则不予聘用）原件及复印件；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（3）未就业毕业生应提供就业报到证。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（4）在职人员提供所在单位及主管部门出具的同意报考证明，同意报考证明提供时间由招聘单位具体确定。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（5）岗位要求的其他材料。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4.报名注意事项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（1）报考人员报名时须认真阅读招聘岗位所应具备的条件及要求，确认符合拟报岗位条件后方可报名。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（2）报考人员所填写的联系方式应完整且准确无误，因联系方式有误而影响招聘考试的，后果由报考人员负责。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（3）所提供的材料应真实，如有弄虚作假的情况一经查实，将取消报考资格或聘用资格。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（三）资格审核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根据招聘条件与报考人员提供的材料进行资格初审，初审合格者确定为考试对象，由用人学校通知考生参加考试。资格条件的最终确认以聘用阶段的复核结果为准。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eastAsia" w:ascii="黑体" w:hAnsi="宋体" w:eastAsia="黑体" w:cs="黑体"/>
          <w:b/>
          <w:i w:val="0"/>
          <w:caps w:val="0"/>
          <w:color w:val="555555"/>
          <w:spacing w:val="0"/>
          <w:kern w:val="0"/>
          <w:sz w:val="32"/>
          <w:szCs w:val="32"/>
          <w:bdr w:val="none" w:color="auto" w:sz="0" w:space="0"/>
          <w:shd w:val="clear" w:fill="FFFFFF"/>
          <w:vertAlign w:val="baseline"/>
          <w:lang w:val="en-US" w:eastAsia="zh-CN" w:bidi="ar"/>
        </w:rPr>
        <w:t>四、笔试加分手续办理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符合省、市有关事业单位笔试加分政策规定的报考人员应于12月16日-12月17日上班时间至泉州台商投资区教育文体旅游局（地址：泉州市惠安县东园镇惠南工业园区台商区行政办公大楼3楼314室）办理加分申请手续。申请加分所需材料等具体事宜将在泉州台商投资区网站另行发布，请报考人员及时予以关注。符合加分条件的人员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1"/>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1.符合原福建省人事厅《关于转发事业单位公开招聘人员暂行规定的通知》（闽人发〔2006〕10号）、《福建省人民政府办公厅关于进一步做好大学生士兵优待工作的通知》（闽政办〔2013〕87号）规定的加分条件的退役士兵、退役运动员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1"/>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2.符合《福建省公务员局福建省人力资源开发办公室福建省“三支一扶”办公室关于进一步完善参加“三支一扶”计划等服务基层项目高校毕业生有关就业政策的通知》（闽人发〔2009〕221号）规定的服务期满且考核合格的服务基层高校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1"/>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3.参加由各县（市、区）党委组织部门统一组织的“村村社社有大学生”计划，并符合《中共泉州市委办公室泉州市人民政府办公室关于实施“村村社社有大学生”计划的意见》（泉委办〔2007〕68号）规定的服务期满三年且考核合格的村务（社区）专职工作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1"/>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曾通过享受各类优惠政策待遇被录（聘）用为公务员或事业单位工作人员的各类报考人员，不再享受加分优惠政策。除闽人发〔2006〕10号、闽政办〔2013〕87号规定可以累加计算的加分项目外，报考人员若同时具备多项不同加分资格条件的，取加分分值较高的项目予以加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1"/>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加分人员名单将在泉州台商投资区局网站公示。加分分值计入考生折算成百分制后的笔试成绩，考生笔试成绩及排名以加分后为准。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eastAsia" w:ascii="黑体" w:hAnsi="宋体" w:eastAsia="黑体" w:cs="黑体"/>
          <w:b/>
          <w:i w:val="0"/>
          <w:caps w:val="0"/>
          <w:color w:val="555555"/>
          <w:spacing w:val="0"/>
          <w:kern w:val="0"/>
          <w:sz w:val="32"/>
          <w:szCs w:val="32"/>
          <w:bdr w:val="none" w:color="auto" w:sz="0" w:space="0"/>
          <w:shd w:val="clear" w:fill="FFFFFF"/>
          <w:vertAlign w:val="baseline"/>
          <w:lang w:val="en-US" w:eastAsia="zh-CN" w:bidi="ar"/>
        </w:rPr>
        <w:t>五、考试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583"/>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拟招聘人数与实际报名人数的比例原则上应达到1:3方可开考，未达到1：3的原则上应减少岗位招聘人数或取消岗位的招聘计划。情况特殊的，由教育文体旅游局商党群工作部研究后报泉州市教育局、人社局同意后方可开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583"/>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考试采取笔试与面试相结合的方式进行。综合成绩实行百分制，按笔试成绩（教育综合知识成绩+加分）占40%和面试成绩占60%合并计算。笔试成绩（教育综合知识成绩+加分）合格线为50分。未达到合格分数线的考生将不予确定为面试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583"/>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（一）笔试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1.笔试时间：报名时通知。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2.笔试地点：报名时通知。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3.笔试科目：教育综合知识(类同2019年福建省中小学新任教师公开招聘考试)，题型：单选、多选、判断、简答题或论述。时间90分钟。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583"/>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（二）面试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时间：电话通知。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地点：电话通知。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583"/>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在笔试合格线上按成绩从高分到低分，以拟聘人数与进入面试人数1：3的比例确定面试人选；面试人选最后一名笔试成绩出现并列的，取所有并列的考生为面试人选；达不到规定比例的，按实有人数确定面试人选；弃权面试的空额从笔试成绩合格人员中按笔试成绩从高分到低分顺序依次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面试主要测试应考对象的专业知识和业务能力，采取片段教学、现场问答等方式进行。考试的具体形式、内容和时间等由各用人学校另行通知。面试成绩实行百分制（片段教学占70%、现场问答占30%），面试合格线为60分，若面试人数少于或等于招聘计划数的岗位，考生面试成绩必须达到70分以上方为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考官由7人以上组成，采取去掉一个最高分、一个最低分，取平均分数的方法确定报考者的面试分数。面试成绩需达到合格分数线且综合成成绩需达60分的考生方可确定为体检、考察对象。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考试成绩在泉州台商投资区管委会网站上公示7个工作日。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eastAsia" w:ascii="黑体" w:hAnsi="宋体" w:eastAsia="黑体" w:cs="黑体"/>
          <w:b/>
          <w:i w:val="0"/>
          <w:caps w:val="0"/>
          <w:color w:val="555555"/>
          <w:spacing w:val="0"/>
          <w:kern w:val="0"/>
          <w:sz w:val="32"/>
          <w:szCs w:val="32"/>
          <w:bdr w:val="none" w:color="auto" w:sz="0" w:space="0"/>
          <w:shd w:val="clear" w:fill="FFFFFF"/>
          <w:vertAlign w:val="baseline"/>
          <w:lang w:val="en-US" w:eastAsia="zh-CN" w:bidi="ar"/>
        </w:rPr>
        <w:t>六、体检和考察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ascii="楷体" w:hAnsi="楷体" w:eastAsia="楷体" w:cs="楷体"/>
          <w:b/>
          <w:i w:val="0"/>
          <w:caps w:val="0"/>
          <w:color w:val="555555"/>
          <w:spacing w:val="0"/>
          <w:kern w:val="0"/>
          <w:sz w:val="32"/>
          <w:szCs w:val="32"/>
          <w:bdr w:val="none" w:color="auto" w:sz="0" w:space="0"/>
          <w:shd w:val="clear" w:fill="FFFFFF"/>
          <w:vertAlign w:val="baseline"/>
          <w:lang w:val="en-US" w:eastAsia="zh-CN" w:bidi="ar"/>
        </w:rPr>
        <w:t>（一）体检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1.体检对象的确定。根据岗位招聘计划数，按考试综合成绩从高分到低分的顺序依次等额确定体检人选。若综合成绩相同，则以教育综合知识成绩分高者为体检人选。若教育综合知识成绩仍并列的，则加试一场面试，综合成绩排名以加试成绩为准，决定体检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2.体检标准。体检按《福建省教师资格申请人员体检标准（2018年修订）》的标准执行，体检不合格的取消聘用资格。对体检结果有异议的报考人员，可在接到体检结论的7个工作日内申请复检1次，复检医院由招聘单位主管部门指定，体检结果以复检结果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体检不合格或自动弃权的，可按成绩由高到低依次递补。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eastAsia" w:ascii="楷体" w:hAnsi="楷体" w:eastAsia="楷体" w:cs="楷体"/>
          <w:b/>
          <w:i w:val="0"/>
          <w:caps w:val="0"/>
          <w:color w:val="555555"/>
          <w:spacing w:val="0"/>
          <w:kern w:val="0"/>
          <w:sz w:val="32"/>
          <w:szCs w:val="32"/>
          <w:bdr w:val="none" w:color="auto" w:sz="0" w:space="0"/>
          <w:shd w:val="clear" w:fill="FFFFFF"/>
          <w:vertAlign w:val="baseline"/>
          <w:lang w:val="en-US" w:eastAsia="zh-CN" w:bidi="ar"/>
        </w:rPr>
        <w:t>（二）考察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采取查阅档案、学历学位等资格条件验证、违法违纪、信用情况调查等方式对体检合格者的政治思想、道德品质、业务能力以及遵纪守法等情况进行全面考察，并对报考资格进行复查。考察不合格者不予聘用。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eastAsia" w:ascii="黑体" w:hAnsi="宋体" w:eastAsia="黑体" w:cs="黑体"/>
          <w:b/>
          <w:i w:val="0"/>
          <w:caps w:val="0"/>
          <w:color w:val="555555"/>
          <w:spacing w:val="0"/>
          <w:kern w:val="0"/>
          <w:sz w:val="32"/>
          <w:szCs w:val="32"/>
          <w:bdr w:val="none" w:color="auto" w:sz="0" w:space="0"/>
          <w:shd w:val="clear" w:fill="FFFFFF"/>
          <w:vertAlign w:val="baseline"/>
          <w:lang w:val="en-US" w:eastAsia="zh-CN" w:bidi="ar"/>
        </w:rPr>
        <w:t>七、公示与聘用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考核合格者确定为拟聘用人选，在泉州台商投资区管委会网站进行为期7个工作日的公示。公示期满不影响聘用的，经政府人事行政部门核准后，由用人单位按有关规定与考生签订聘用合同，实行为期三年的最低服务年限（含试用期）。试用期满经考核合格者，予以转正；考核不合格者，取消其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eastAsia" w:ascii="黑体" w:hAnsi="宋体" w:eastAsia="黑体" w:cs="黑体"/>
          <w:b/>
          <w:i w:val="0"/>
          <w:caps w:val="0"/>
          <w:color w:val="555555"/>
          <w:spacing w:val="0"/>
          <w:kern w:val="0"/>
          <w:sz w:val="32"/>
          <w:szCs w:val="32"/>
          <w:bdr w:val="none" w:color="auto" w:sz="0" w:space="0"/>
          <w:shd w:val="clear" w:fill="FFFFFF"/>
          <w:vertAlign w:val="baseline"/>
          <w:lang w:val="en-US" w:eastAsia="zh-CN" w:bidi="ar"/>
        </w:rPr>
        <w:t>八、其他事项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（一）本次招聘公告通过泉州台商投资区管委会网站发布。招聘后续相关信息，报考人员应及时关注泉州台商投资区管委会网站相关信息。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（二）拟聘用人员实行为期三年的最低服务年限(含试用期)，最低服务年限内不允许通过调动方式调离所在学校或单位。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三）招聘工作坚持公开报考条件、公开考试程序、公开考试结果“三公开”制度，严格遵守保密规定和回避制度。本次考试纪律按照人力资源和社会保障部《事业单位公开招聘违纪违规行为处理规定》（人社部35号令）有关规定执行。招聘工作全程接受区教育文体旅游局纪检人员监督。监督电话：0595-27550755，27398851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（四）本通告未尽事宜由泉州台商投资区教育文体旅游局负责解释。咨询电话：0595-27398852。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1604" w:right="0" w:hanging="966"/>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1611" w:right="0" w:hanging="966"/>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附件：1.泉州第五中学台商区分校2020年赴省外专项公开招聘教师岗位信息表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1281" w:right="0" w:firstLine="644"/>
        <w:jc w:val="left"/>
        <w:textAlignment w:val="baseline"/>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kern w:val="0"/>
          <w:sz w:val="24"/>
          <w:szCs w:val="24"/>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1610" w:right="0" w:firstLine="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2.泉州第五中学台商区分校专项公开招聘教师报名登记表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5475"/>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泉州台商投资区管委会教育文体旅游局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5153"/>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2019年12月12日</w:t>
      </w:r>
    </w:p>
    <w:tbl>
      <w:tblPr>
        <w:tblpPr w:vertAnchor="text" w:tblpXSpec="left"/>
        <w:tblW w:w="9599" w:type="dxa"/>
        <w:tblInd w:w="0" w:type="dxa"/>
        <w:shd w:val="clear"/>
        <w:tblLayout w:type="autofit"/>
        <w:tblCellMar>
          <w:top w:w="0" w:type="dxa"/>
          <w:left w:w="0" w:type="dxa"/>
          <w:bottom w:w="0" w:type="dxa"/>
          <w:right w:w="0" w:type="dxa"/>
        </w:tblCellMar>
      </w:tblPr>
      <w:tblGrid>
        <w:gridCol w:w="348"/>
        <w:gridCol w:w="874"/>
        <w:gridCol w:w="364"/>
        <w:gridCol w:w="585"/>
        <w:gridCol w:w="782"/>
        <w:gridCol w:w="368"/>
        <w:gridCol w:w="553"/>
        <w:gridCol w:w="462"/>
        <w:gridCol w:w="553"/>
        <w:gridCol w:w="605"/>
        <w:gridCol w:w="742"/>
        <w:gridCol w:w="515"/>
        <w:gridCol w:w="540"/>
        <w:gridCol w:w="1288"/>
        <w:gridCol w:w="556"/>
        <w:gridCol w:w="374"/>
        <w:gridCol w:w="90"/>
      </w:tblGrid>
      <w:tr>
        <w:tblPrEx>
          <w:shd w:val="clear"/>
          <w:tblCellMar>
            <w:top w:w="0" w:type="dxa"/>
            <w:left w:w="0" w:type="dxa"/>
            <w:bottom w:w="0" w:type="dxa"/>
            <w:right w:w="0" w:type="dxa"/>
          </w:tblCellMar>
        </w:tblPrEx>
        <w:trPr>
          <w:trHeight w:val="1284" w:hRule="atLeast"/>
        </w:trPr>
        <w:tc>
          <w:tcPr>
            <w:tcW w:w="9509" w:type="dxa"/>
            <w:gridSpan w:val="16"/>
            <w:tcBorders>
              <w:top w:val="nil"/>
              <w:left w:val="nil"/>
              <w:bottom w:val="single" w:color="000000" w:sz="8" w:space="0"/>
              <w:right w:val="nil"/>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32"/>
                <w:szCs w:val="32"/>
                <w:bdr w:val="none" w:color="auto" w:sz="0" w:space="0"/>
                <w:lang w:val="en-US" w:eastAsia="zh-CN" w:bidi="ar"/>
              </w:rPr>
              <w:t>附件</w:t>
            </w:r>
            <w:r>
              <w:rPr>
                <w:rFonts w:hint="default" w:ascii="仿宋_GB2312" w:hAnsi="宋体" w:eastAsia="仿宋_GB2312" w:cs="仿宋_GB2312"/>
                <w:kern w:val="0"/>
                <w:sz w:val="32"/>
                <w:szCs w:val="32"/>
                <w:bdr w:val="none" w:color="auto" w:sz="0" w:space="0"/>
                <w:lang w:val="en-US" w:eastAsia="zh-CN" w:bidi="ar"/>
              </w:rPr>
              <w:t>1</w:t>
            </w:r>
            <w:r>
              <w:rPr>
                <w:rFonts w:hint="eastAsia" w:ascii="宋体" w:hAnsi="宋体" w:eastAsia="宋体" w:cs="宋体"/>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ascii="方正小标宋简体" w:hAnsi="方正小标宋简体" w:eastAsia="方正小标宋简体" w:cs="方正小标宋简体"/>
                <w:kern w:val="0"/>
                <w:sz w:val="36"/>
                <w:szCs w:val="36"/>
                <w:bdr w:val="none" w:color="auto" w:sz="0" w:space="0"/>
                <w:lang w:val="en-US" w:eastAsia="zh-CN" w:bidi="ar"/>
              </w:rPr>
              <w:t>泉州第五中学台商区分校</w:t>
            </w:r>
            <w:r>
              <w:rPr>
                <w:rFonts w:hint="default" w:ascii="仿宋_GB2312" w:hAnsi="方正小标宋简体" w:eastAsia="仿宋_GB2312" w:cs="仿宋_GB2312"/>
                <w:kern w:val="0"/>
                <w:sz w:val="36"/>
                <w:szCs w:val="36"/>
                <w:bdr w:val="none" w:color="auto" w:sz="0" w:space="0"/>
                <w:lang w:val="en-US" w:eastAsia="zh-CN" w:bidi="ar"/>
              </w:rPr>
              <w:t>2020</w:t>
            </w:r>
            <w:r>
              <w:rPr>
                <w:rFonts w:hint="eastAsia" w:ascii="方正小标宋简体" w:hAnsi="方正小标宋简体" w:eastAsia="方正小标宋简体" w:cs="方正小标宋简体"/>
                <w:kern w:val="0"/>
                <w:sz w:val="36"/>
                <w:szCs w:val="36"/>
                <w:bdr w:val="none" w:color="auto" w:sz="0" w:space="0"/>
                <w:lang w:val="en-US" w:eastAsia="zh-CN" w:bidi="ar"/>
              </w:rPr>
              <w:t>年赴省外专项公开招聘教师岗位信息表</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77" w:hRule="atLeast"/>
        </w:trPr>
        <w:tc>
          <w:tcPr>
            <w:tcW w:w="34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岗位代码</w:t>
            </w:r>
          </w:p>
        </w:tc>
        <w:tc>
          <w:tcPr>
            <w:tcW w:w="874"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招聘单位</w:t>
            </w:r>
          </w:p>
        </w:tc>
        <w:tc>
          <w:tcPr>
            <w:tcW w:w="364" w:type="dxa"/>
            <w:vMerge w:val="restart"/>
            <w:tcBorders>
              <w:top w:val="nil"/>
              <w:left w:val="nil"/>
              <w:bottom w:val="single" w:color="000000"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经费形式</w:t>
            </w:r>
          </w:p>
        </w:tc>
        <w:tc>
          <w:tcPr>
            <w:tcW w:w="58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招聘岗位</w:t>
            </w:r>
          </w:p>
        </w:tc>
        <w:tc>
          <w:tcPr>
            <w:tcW w:w="782" w:type="dxa"/>
            <w:vMerge w:val="restart"/>
            <w:tcBorders>
              <w:top w:val="nil"/>
              <w:left w:val="nil"/>
              <w:bottom w:val="single" w:color="000000"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岗位最高级别</w:t>
            </w:r>
          </w:p>
        </w:tc>
        <w:tc>
          <w:tcPr>
            <w:tcW w:w="36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招聘人数</w:t>
            </w:r>
          </w:p>
        </w:tc>
        <w:tc>
          <w:tcPr>
            <w:tcW w:w="5814" w:type="dxa"/>
            <w:gridSpan w:val="9"/>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所</w:t>
            </w:r>
            <w:r>
              <w:rPr>
                <w:rFonts w:hint="default" w:ascii="仿宋_GB2312" w:hAnsi="宋体" w:eastAsia="仿宋_GB2312" w:cs="仿宋_GB2312"/>
                <w:b/>
                <w:kern w:val="0"/>
                <w:sz w:val="20"/>
                <w:szCs w:val="20"/>
                <w:bdr w:val="none" w:color="auto" w:sz="0" w:space="0"/>
                <w:lang w:val="en-US" w:eastAsia="zh-CN" w:bidi="ar"/>
              </w:rPr>
              <w:t>  </w:t>
            </w:r>
            <w:r>
              <w:rPr>
                <w:rFonts w:hint="eastAsia" w:ascii="宋体" w:hAnsi="宋体" w:eastAsia="宋体" w:cs="宋体"/>
                <w:b/>
                <w:kern w:val="0"/>
                <w:sz w:val="20"/>
                <w:szCs w:val="20"/>
                <w:bdr w:val="none" w:color="auto" w:sz="0" w:space="0"/>
                <w:lang w:val="en-US" w:eastAsia="zh-CN" w:bidi="ar"/>
              </w:rPr>
              <w:t>需</w:t>
            </w:r>
            <w:r>
              <w:rPr>
                <w:rFonts w:hint="default" w:ascii="仿宋_GB2312" w:hAnsi="宋体" w:eastAsia="仿宋_GB2312" w:cs="仿宋_GB2312"/>
                <w:b/>
                <w:kern w:val="0"/>
                <w:sz w:val="20"/>
                <w:szCs w:val="20"/>
                <w:bdr w:val="none" w:color="auto" w:sz="0" w:space="0"/>
                <w:lang w:val="en-US" w:eastAsia="zh-CN" w:bidi="ar"/>
              </w:rPr>
              <w:t>  </w:t>
            </w:r>
            <w:r>
              <w:rPr>
                <w:rFonts w:hint="eastAsia" w:ascii="宋体" w:hAnsi="宋体" w:eastAsia="宋体" w:cs="宋体"/>
                <w:b/>
                <w:kern w:val="0"/>
                <w:sz w:val="20"/>
                <w:szCs w:val="20"/>
                <w:bdr w:val="none" w:color="auto" w:sz="0" w:space="0"/>
                <w:lang w:val="en-US" w:eastAsia="zh-CN" w:bidi="ar"/>
              </w:rPr>
              <w:t>资</w:t>
            </w:r>
            <w:r>
              <w:rPr>
                <w:rFonts w:hint="default" w:ascii="仿宋_GB2312" w:hAnsi="宋体" w:eastAsia="仿宋_GB2312" w:cs="仿宋_GB2312"/>
                <w:b/>
                <w:kern w:val="0"/>
                <w:sz w:val="20"/>
                <w:szCs w:val="20"/>
                <w:bdr w:val="none" w:color="auto" w:sz="0" w:space="0"/>
                <w:lang w:val="en-US" w:eastAsia="zh-CN" w:bidi="ar"/>
              </w:rPr>
              <w:t>  </w:t>
            </w:r>
            <w:r>
              <w:rPr>
                <w:rFonts w:hint="eastAsia" w:ascii="宋体" w:hAnsi="宋体" w:eastAsia="宋体" w:cs="宋体"/>
                <w:b/>
                <w:kern w:val="0"/>
                <w:sz w:val="20"/>
                <w:szCs w:val="20"/>
                <w:bdr w:val="none" w:color="auto" w:sz="0" w:space="0"/>
                <w:lang w:val="en-US" w:eastAsia="zh-CN" w:bidi="ar"/>
              </w:rPr>
              <w:t>格</w:t>
            </w:r>
            <w:r>
              <w:rPr>
                <w:rFonts w:hint="default" w:ascii="仿宋_GB2312" w:hAnsi="宋体" w:eastAsia="仿宋_GB2312" w:cs="仿宋_GB2312"/>
                <w:b/>
                <w:kern w:val="0"/>
                <w:sz w:val="20"/>
                <w:szCs w:val="20"/>
                <w:bdr w:val="none" w:color="auto" w:sz="0" w:space="0"/>
                <w:lang w:val="en-US" w:eastAsia="zh-CN" w:bidi="ar"/>
              </w:rPr>
              <w:t>  </w:t>
            </w:r>
            <w:r>
              <w:rPr>
                <w:rFonts w:hint="eastAsia" w:ascii="宋体" w:hAnsi="宋体" w:eastAsia="宋体" w:cs="宋体"/>
                <w:b/>
                <w:kern w:val="0"/>
                <w:sz w:val="20"/>
                <w:szCs w:val="20"/>
                <w:bdr w:val="none" w:color="auto" w:sz="0" w:space="0"/>
                <w:lang w:val="en-US" w:eastAsia="zh-CN" w:bidi="ar"/>
              </w:rPr>
              <w:t>条</w:t>
            </w:r>
            <w:r>
              <w:rPr>
                <w:rFonts w:hint="default" w:ascii="仿宋_GB2312" w:hAnsi="宋体" w:eastAsia="仿宋_GB2312" w:cs="仿宋_GB2312"/>
                <w:b/>
                <w:kern w:val="0"/>
                <w:sz w:val="20"/>
                <w:szCs w:val="20"/>
                <w:bdr w:val="none" w:color="auto" w:sz="0" w:space="0"/>
                <w:lang w:val="en-US" w:eastAsia="zh-CN" w:bidi="ar"/>
              </w:rPr>
              <w:t>  </w:t>
            </w:r>
            <w:r>
              <w:rPr>
                <w:rFonts w:hint="eastAsia" w:ascii="宋体" w:hAnsi="宋体" w:eastAsia="宋体" w:cs="宋体"/>
                <w:b/>
                <w:kern w:val="0"/>
                <w:sz w:val="20"/>
                <w:szCs w:val="20"/>
                <w:bdr w:val="none" w:color="auto" w:sz="0" w:space="0"/>
                <w:lang w:val="en-US" w:eastAsia="zh-CN" w:bidi="ar"/>
              </w:rPr>
              <w:t>件</w:t>
            </w:r>
          </w:p>
        </w:tc>
        <w:tc>
          <w:tcPr>
            <w:tcW w:w="374"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备注</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77" w:hRule="atLeast"/>
        </w:trPr>
        <w:tc>
          <w:tcPr>
            <w:tcW w:w="34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874"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364" w:type="dxa"/>
            <w:vMerge w:val="continue"/>
            <w:tcBorders>
              <w:top w:val="nil"/>
              <w:left w:val="nil"/>
              <w:bottom w:val="single" w:color="000000" w:sz="8" w:space="0"/>
              <w:right w:val="single" w:color="auto"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8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782" w:type="dxa"/>
            <w:vMerge w:val="continue"/>
            <w:tcBorders>
              <w:top w:val="nil"/>
              <w:left w:val="nil"/>
              <w:bottom w:val="single" w:color="000000" w:sz="8" w:space="0"/>
              <w:right w:val="single" w:color="auto"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36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53"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最高年龄</w:t>
            </w:r>
          </w:p>
        </w:tc>
        <w:tc>
          <w:tcPr>
            <w:tcW w:w="462" w:type="dxa"/>
            <w:vMerge w:val="restart"/>
            <w:tcBorders>
              <w:top w:val="single" w:color="000000" w:sz="8" w:space="0"/>
              <w:left w:val="nil"/>
              <w:bottom w:val="single" w:color="000000"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性别</w:t>
            </w:r>
          </w:p>
        </w:tc>
        <w:tc>
          <w:tcPr>
            <w:tcW w:w="553" w:type="dxa"/>
            <w:vMerge w:val="restart"/>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户籍</w:t>
            </w:r>
          </w:p>
        </w:tc>
        <w:tc>
          <w:tcPr>
            <w:tcW w:w="605" w:type="dxa"/>
            <w:vMerge w:val="restart"/>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学历</w:t>
            </w:r>
            <w:r>
              <w:rPr>
                <w:rFonts w:hint="eastAsia" w:ascii="微软雅黑" w:hAnsi="微软雅黑" w:eastAsia="微软雅黑" w:cs="微软雅黑"/>
                <w:b/>
                <w:kern w:val="0"/>
                <w:sz w:val="20"/>
                <w:szCs w:val="20"/>
                <w:bdr w:val="none" w:color="auto" w:sz="0" w:space="0"/>
                <w:lang w:val="en-US" w:eastAsia="zh-CN" w:bidi="ar"/>
              </w:rPr>
              <w:br w:type="textWrapping"/>
            </w:r>
            <w:r>
              <w:rPr>
                <w:rFonts w:hint="eastAsia" w:ascii="宋体" w:hAnsi="宋体" w:eastAsia="宋体" w:cs="宋体"/>
                <w:b/>
                <w:kern w:val="0"/>
                <w:sz w:val="20"/>
                <w:szCs w:val="20"/>
                <w:bdr w:val="none" w:color="auto" w:sz="0" w:space="0"/>
                <w:lang w:val="en-US" w:eastAsia="zh-CN" w:bidi="ar"/>
              </w:rPr>
              <w:t>类别</w:t>
            </w:r>
          </w:p>
        </w:tc>
        <w:tc>
          <w:tcPr>
            <w:tcW w:w="742" w:type="dxa"/>
            <w:vMerge w:val="restart"/>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是否要求师范类毕业生</w:t>
            </w:r>
          </w:p>
        </w:tc>
        <w:tc>
          <w:tcPr>
            <w:tcW w:w="515" w:type="dxa"/>
            <w:vMerge w:val="restart"/>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学历</w:t>
            </w:r>
          </w:p>
        </w:tc>
        <w:tc>
          <w:tcPr>
            <w:tcW w:w="540" w:type="dxa"/>
            <w:vMerge w:val="restart"/>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学位</w:t>
            </w:r>
          </w:p>
        </w:tc>
        <w:tc>
          <w:tcPr>
            <w:tcW w:w="1288" w:type="dxa"/>
            <w:vMerge w:val="restart"/>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专业要求</w:t>
            </w:r>
          </w:p>
        </w:tc>
        <w:tc>
          <w:tcPr>
            <w:tcW w:w="556" w:type="dxa"/>
            <w:vMerge w:val="restart"/>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其他条件</w:t>
            </w:r>
          </w:p>
        </w:tc>
        <w:tc>
          <w:tcPr>
            <w:tcW w:w="374"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77" w:hRule="atLeast"/>
        </w:trPr>
        <w:tc>
          <w:tcPr>
            <w:tcW w:w="34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874"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364" w:type="dxa"/>
            <w:vMerge w:val="continue"/>
            <w:tcBorders>
              <w:top w:val="nil"/>
              <w:left w:val="nil"/>
              <w:bottom w:val="single" w:color="000000" w:sz="8" w:space="0"/>
              <w:right w:val="single" w:color="auto"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8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782" w:type="dxa"/>
            <w:vMerge w:val="continue"/>
            <w:tcBorders>
              <w:top w:val="nil"/>
              <w:left w:val="nil"/>
              <w:bottom w:val="single" w:color="000000" w:sz="8" w:space="0"/>
              <w:right w:val="single" w:color="auto"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36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53"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462" w:type="dxa"/>
            <w:vMerge w:val="continue"/>
            <w:tcBorders>
              <w:top w:val="single" w:color="000000" w:sz="8" w:space="0"/>
              <w:left w:val="nil"/>
              <w:bottom w:val="single" w:color="000000" w:sz="8" w:space="0"/>
              <w:right w:val="single" w:color="auto"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53" w:type="dxa"/>
            <w:vMerge w:val="continue"/>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605" w:type="dxa"/>
            <w:vMerge w:val="continue"/>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742" w:type="dxa"/>
            <w:vMerge w:val="continue"/>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15" w:type="dxa"/>
            <w:vMerge w:val="continue"/>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40" w:type="dxa"/>
            <w:vMerge w:val="continue"/>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88" w:type="dxa"/>
            <w:vMerge w:val="continue"/>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56" w:type="dxa"/>
            <w:vMerge w:val="continue"/>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374"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99" w:hRule="atLeast"/>
        </w:trPr>
        <w:tc>
          <w:tcPr>
            <w:tcW w:w="348" w:type="dxa"/>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01</w:t>
            </w:r>
          </w:p>
        </w:tc>
        <w:tc>
          <w:tcPr>
            <w:tcW w:w="87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泉州五中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台商区分校</w:t>
            </w:r>
          </w:p>
        </w:tc>
        <w:tc>
          <w:tcPr>
            <w:tcW w:w="36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核拨</w:t>
            </w:r>
          </w:p>
        </w:tc>
        <w:tc>
          <w:tcPr>
            <w:tcW w:w="58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专技（语文教师）</w:t>
            </w:r>
          </w:p>
        </w:tc>
        <w:tc>
          <w:tcPr>
            <w:tcW w:w="782"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专技十二级</w:t>
            </w:r>
          </w:p>
        </w:tc>
        <w:tc>
          <w:tcPr>
            <w:tcW w:w="36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tc>
        <w:tc>
          <w:tcPr>
            <w:tcW w:w="55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35</w:t>
            </w:r>
          </w:p>
        </w:tc>
        <w:tc>
          <w:tcPr>
            <w:tcW w:w="462"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55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60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全日制普通院校</w:t>
            </w:r>
          </w:p>
        </w:tc>
        <w:tc>
          <w:tcPr>
            <w:tcW w:w="742"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是</w:t>
            </w:r>
          </w:p>
        </w:tc>
        <w:tc>
          <w:tcPr>
            <w:tcW w:w="51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本科及以上</w:t>
            </w:r>
          </w:p>
        </w:tc>
        <w:tc>
          <w:tcPr>
            <w:tcW w:w="54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学士及以上</w:t>
            </w:r>
          </w:p>
        </w:tc>
        <w:tc>
          <w:tcPr>
            <w:tcW w:w="128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中国语言文学类、教育学类</w:t>
            </w:r>
            <w:r>
              <w:rPr>
                <w:rFonts w:hint="default" w:ascii="仿宋_GB2312" w:hAnsi="宋体" w:eastAsia="仿宋_GB2312" w:cs="仿宋_GB2312"/>
                <w:kern w:val="0"/>
                <w:sz w:val="20"/>
                <w:szCs w:val="20"/>
                <w:bdr w:val="none" w:color="auto" w:sz="0" w:space="0"/>
                <w:lang w:val="en-US" w:eastAsia="zh-CN" w:bidi="ar"/>
              </w:rPr>
              <w:t>(</w:t>
            </w:r>
            <w:r>
              <w:rPr>
                <w:rFonts w:hint="eastAsia" w:ascii="宋体" w:hAnsi="宋体" w:eastAsia="宋体" w:cs="宋体"/>
                <w:kern w:val="0"/>
                <w:sz w:val="20"/>
                <w:szCs w:val="20"/>
                <w:bdr w:val="none" w:color="auto" w:sz="0" w:space="0"/>
                <w:lang w:val="en-US" w:eastAsia="zh-CN" w:bidi="ar"/>
              </w:rPr>
              <w:t>汉语言方向）</w:t>
            </w:r>
          </w:p>
        </w:tc>
        <w:tc>
          <w:tcPr>
            <w:tcW w:w="55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37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99" w:hRule="atLeast"/>
        </w:trPr>
        <w:tc>
          <w:tcPr>
            <w:tcW w:w="348" w:type="dxa"/>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02</w:t>
            </w:r>
          </w:p>
        </w:tc>
        <w:tc>
          <w:tcPr>
            <w:tcW w:w="87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泉州五中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台商区分校</w:t>
            </w:r>
          </w:p>
        </w:tc>
        <w:tc>
          <w:tcPr>
            <w:tcW w:w="36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核拨</w:t>
            </w:r>
          </w:p>
        </w:tc>
        <w:tc>
          <w:tcPr>
            <w:tcW w:w="58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专技（数学教师）</w:t>
            </w:r>
          </w:p>
        </w:tc>
        <w:tc>
          <w:tcPr>
            <w:tcW w:w="782"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专技十二级</w:t>
            </w:r>
          </w:p>
        </w:tc>
        <w:tc>
          <w:tcPr>
            <w:tcW w:w="36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w:t>
            </w:r>
          </w:p>
        </w:tc>
        <w:tc>
          <w:tcPr>
            <w:tcW w:w="55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35</w:t>
            </w:r>
          </w:p>
        </w:tc>
        <w:tc>
          <w:tcPr>
            <w:tcW w:w="462"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55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60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全日制普通院校</w:t>
            </w:r>
          </w:p>
        </w:tc>
        <w:tc>
          <w:tcPr>
            <w:tcW w:w="742"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是</w:t>
            </w:r>
          </w:p>
        </w:tc>
        <w:tc>
          <w:tcPr>
            <w:tcW w:w="51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本科及以上</w:t>
            </w:r>
          </w:p>
        </w:tc>
        <w:tc>
          <w:tcPr>
            <w:tcW w:w="54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学士及以上</w:t>
            </w:r>
          </w:p>
        </w:tc>
        <w:tc>
          <w:tcPr>
            <w:tcW w:w="128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数学类</w:t>
            </w:r>
            <w:r>
              <w:rPr>
                <w:rFonts w:hint="default" w:ascii="仿宋_GB2312" w:hAnsi="宋体" w:eastAsia="仿宋_GB2312" w:cs="仿宋_GB2312"/>
                <w:kern w:val="0"/>
                <w:sz w:val="20"/>
                <w:szCs w:val="20"/>
                <w:bdr w:val="none" w:color="auto" w:sz="0" w:space="0"/>
                <w:lang w:val="en-US" w:eastAsia="zh-CN" w:bidi="ar"/>
              </w:rPr>
              <w:t>,</w:t>
            </w:r>
            <w:r>
              <w:rPr>
                <w:rFonts w:hint="eastAsia" w:ascii="宋体" w:hAnsi="宋体" w:eastAsia="宋体" w:cs="宋体"/>
                <w:kern w:val="0"/>
                <w:sz w:val="20"/>
                <w:szCs w:val="20"/>
                <w:bdr w:val="none" w:color="auto" w:sz="0" w:space="0"/>
                <w:lang w:val="en-US" w:eastAsia="zh-CN" w:bidi="ar"/>
              </w:rPr>
              <w:t>数量经济学、教育学类（数学方向）</w:t>
            </w:r>
          </w:p>
        </w:tc>
        <w:tc>
          <w:tcPr>
            <w:tcW w:w="55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37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99" w:hRule="atLeast"/>
        </w:trPr>
        <w:tc>
          <w:tcPr>
            <w:tcW w:w="348" w:type="dxa"/>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03</w:t>
            </w:r>
          </w:p>
        </w:tc>
        <w:tc>
          <w:tcPr>
            <w:tcW w:w="87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泉州五中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台商区分校</w:t>
            </w:r>
          </w:p>
        </w:tc>
        <w:tc>
          <w:tcPr>
            <w:tcW w:w="36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核拨</w:t>
            </w:r>
          </w:p>
        </w:tc>
        <w:tc>
          <w:tcPr>
            <w:tcW w:w="58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专技（英语教师）</w:t>
            </w:r>
          </w:p>
        </w:tc>
        <w:tc>
          <w:tcPr>
            <w:tcW w:w="782"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专技十二级</w:t>
            </w:r>
          </w:p>
        </w:tc>
        <w:tc>
          <w:tcPr>
            <w:tcW w:w="36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tc>
        <w:tc>
          <w:tcPr>
            <w:tcW w:w="55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35</w:t>
            </w:r>
          </w:p>
        </w:tc>
        <w:tc>
          <w:tcPr>
            <w:tcW w:w="462"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55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60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全日制普通院校</w:t>
            </w:r>
          </w:p>
        </w:tc>
        <w:tc>
          <w:tcPr>
            <w:tcW w:w="742"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是</w:t>
            </w:r>
          </w:p>
        </w:tc>
        <w:tc>
          <w:tcPr>
            <w:tcW w:w="51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本科及以上</w:t>
            </w:r>
          </w:p>
        </w:tc>
        <w:tc>
          <w:tcPr>
            <w:tcW w:w="54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学士及以上</w:t>
            </w:r>
          </w:p>
        </w:tc>
        <w:tc>
          <w:tcPr>
            <w:tcW w:w="128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外国语言文学类、教育学类（英语方向）</w:t>
            </w:r>
          </w:p>
        </w:tc>
        <w:tc>
          <w:tcPr>
            <w:tcW w:w="55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37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99" w:hRule="atLeast"/>
        </w:trPr>
        <w:tc>
          <w:tcPr>
            <w:tcW w:w="348" w:type="dxa"/>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04</w:t>
            </w:r>
          </w:p>
        </w:tc>
        <w:tc>
          <w:tcPr>
            <w:tcW w:w="87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泉州五中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台商区分校</w:t>
            </w:r>
          </w:p>
        </w:tc>
        <w:tc>
          <w:tcPr>
            <w:tcW w:w="36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核拨</w:t>
            </w:r>
          </w:p>
        </w:tc>
        <w:tc>
          <w:tcPr>
            <w:tcW w:w="58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专技（物理教师）</w:t>
            </w:r>
          </w:p>
        </w:tc>
        <w:tc>
          <w:tcPr>
            <w:tcW w:w="782"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专技十二级</w:t>
            </w:r>
          </w:p>
        </w:tc>
        <w:tc>
          <w:tcPr>
            <w:tcW w:w="36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tc>
        <w:tc>
          <w:tcPr>
            <w:tcW w:w="55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35</w:t>
            </w:r>
          </w:p>
        </w:tc>
        <w:tc>
          <w:tcPr>
            <w:tcW w:w="462"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55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60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全日制普通院校</w:t>
            </w:r>
          </w:p>
        </w:tc>
        <w:tc>
          <w:tcPr>
            <w:tcW w:w="742"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是</w:t>
            </w:r>
          </w:p>
        </w:tc>
        <w:tc>
          <w:tcPr>
            <w:tcW w:w="51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本科及以上</w:t>
            </w:r>
          </w:p>
        </w:tc>
        <w:tc>
          <w:tcPr>
            <w:tcW w:w="54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学士及以上</w:t>
            </w:r>
          </w:p>
        </w:tc>
        <w:tc>
          <w:tcPr>
            <w:tcW w:w="128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物理学类</w:t>
            </w:r>
            <w:r>
              <w:rPr>
                <w:rFonts w:hint="default" w:ascii="仿宋_GB2312" w:hAnsi="宋体" w:eastAsia="仿宋_GB2312" w:cs="仿宋_GB2312"/>
                <w:kern w:val="0"/>
                <w:sz w:val="20"/>
                <w:szCs w:val="20"/>
                <w:bdr w:val="none" w:color="auto" w:sz="0" w:space="0"/>
                <w:lang w:val="en-US" w:eastAsia="zh-CN" w:bidi="ar"/>
              </w:rPr>
              <w:t>,</w:t>
            </w:r>
            <w:r>
              <w:rPr>
                <w:rFonts w:hint="eastAsia" w:ascii="宋体" w:hAnsi="宋体" w:eastAsia="宋体" w:cs="宋体"/>
                <w:kern w:val="0"/>
                <w:sz w:val="20"/>
                <w:szCs w:val="20"/>
                <w:bdr w:val="none" w:color="auto" w:sz="0" w:space="0"/>
                <w:lang w:val="en-US" w:eastAsia="zh-CN" w:bidi="ar"/>
              </w:rPr>
              <w:t>教育学类（物理方向）</w:t>
            </w:r>
          </w:p>
        </w:tc>
        <w:tc>
          <w:tcPr>
            <w:tcW w:w="55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37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19" w:hRule="atLeast"/>
        </w:trPr>
        <w:tc>
          <w:tcPr>
            <w:tcW w:w="348" w:type="dxa"/>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05</w:t>
            </w:r>
          </w:p>
        </w:tc>
        <w:tc>
          <w:tcPr>
            <w:tcW w:w="87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泉州五中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台商区分校</w:t>
            </w:r>
          </w:p>
        </w:tc>
        <w:tc>
          <w:tcPr>
            <w:tcW w:w="36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核拨</w:t>
            </w:r>
          </w:p>
        </w:tc>
        <w:tc>
          <w:tcPr>
            <w:tcW w:w="58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专技（地理教师）</w:t>
            </w:r>
          </w:p>
        </w:tc>
        <w:tc>
          <w:tcPr>
            <w:tcW w:w="782"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专技十二级</w:t>
            </w:r>
          </w:p>
        </w:tc>
        <w:tc>
          <w:tcPr>
            <w:tcW w:w="36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tc>
        <w:tc>
          <w:tcPr>
            <w:tcW w:w="55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35</w:t>
            </w:r>
          </w:p>
        </w:tc>
        <w:tc>
          <w:tcPr>
            <w:tcW w:w="462"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55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60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全日制普通院校</w:t>
            </w:r>
          </w:p>
        </w:tc>
        <w:tc>
          <w:tcPr>
            <w:tcW w:w="742"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是</w:t>
            </w:r>
          </w:p>
        </w:tc>
        <w:tc>
          <w:tcPr>
            <w:tcW w:w="51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本科及以上</w:t>
            </w:r>
          </w:p>
        </w:tc>
        <w:tc>
          <w:tcPr>
            <w:tcW w:w="54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学士及以上</w:t>
            </w:r>
          </w:p>
        </w:tc>
        <w:tc>
          <w:tcPr>
            <w:tcW w:w="128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地理科学类（地理方向）</w:t>
            </w:r>
          </w:p>
        </w:tc>
        <w:tc>
          <w:tcPr>
            <w:tcW w:w="55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37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555555"/>
          <w:spacing w:val="0"/>
          <w:sz w:val="32"/>
          <w:szCs w:val="32"/>
          <w:lang w:val="en-US"/>
        </w:rPr>
      </w:pPr>
      <w:r>
        <w:rPr>
          <w:rFonts w:hint="eastAsia" w:ascii="微软雅黑" w:hAnsi="微软雅黑" w:eastAsia="微软雅黑" w:cs="微软雅黑"/>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555555"/>
          <w:spacing w:val="0"/>
          <w:sz w:val="32"/>
          <w:szCs w:val="32"/>
          <w:lang w:val="en-US"/>
        </w:rPr>
      </w:pPr>
      <w:r>
        <w:rPr>
          <w:rFonts w:hint="eastAsia" w:ascii="微软雅黑" w:hAnsi="微软雅黑" w:eastAsia="微软雅黑" w:cs="微软雅黑"/>
          <w:b w:val="0"/>
          <w:i w:val="0"/>
          <w:caps w:val="0"/>
          <w:color w:val="555555"/>
          <w:spacing w:val="0"/>
          <w:kern w:val="0"/>
          <w:sz w:val="32"/>
          <w:szCs w:val="32"/>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08"/>
        <w:jc w:val="left"/>
        <w:rPr>
          <w:rFonts w:hint="eastAsia" w:ascii="微软雅黑" w:hAnsi="微软雅黑" w:eastAsia="微软雅黑" w:cs="微软雅黑"/>
        </w:rPr>
      </w:pPr>
      <w:r>
        <w:rPr>
          <w:rFonts w:hint="default" w:ascii="仿宋_GB2312" w:hAnsi="微软雅黑" w:eastAsia="仿宋_GB2312" w:cs="仿宋_GB2312"/>
          <w:b w:val="0"/>
          <w:i w:val="0"/>
          <w:caps w:val="0"/>
          <w:color w:val="555555"/>
          <w:spacing w:val="0"/>
          <w:sz w:val="32"/>
          <w:szCs w:val="32"/>
          <w:bdr w:val="none" w:color="auto" w:sz="0" w:space="0"/>
          <w:shd w:val="clear" w:fill="FFFFFF"/>
          <w:lang w:val="en-US"/>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08"/>
        <w:jc w:val="center"/>
        <w:rPr>
          <w:rFonts w:hint="eastAsia" w:ascii="微软雅黑" w:hAnsi="微软雅黑" w:eastAsia="微软雅黑" w:cs="微软雅黑"/>
        </w:rPr>
      </w:pPr>
      <w:r>
        <w:rPr>
          <w:rFonts w:hint="eastAsia" w:ascii="方正小标宋简体" w:hAnsi="方正小标宋简体" w:eastAsia="方正小标宋简体" w:cs="方正小标宋简体"/>
          <w:b w:val="0"/>
          <w:i w:val="0"/>
          <w:caps w:val="0"/>
          <w:color w:val="555555"/>
          <w:spacing w:val="0"/>
          <w:sz w:val="36"/>
          <w:szCs w:val="36"/>
          <w:bdr w:val="none" w:color="auto" w:sz="0" w:space="0"/>
          <w:shd w:val="clear" w:fill="FFFFFF"/>
          <w:lang w:val="en-US"/>
        </w:rPr>
        <w:t>泉州第五中学台商区分校</w:t>
      </w:r>
      <w:r>
        <w:rPr>
          <w:rFonts w:hint="eastAsia" w:ascii="方正小标宋简体" w:hAnsi="方正小标宋简体" w:eastAsia="方正小标宋简体" w:cs="方正小标宋简体"/>
          <w:b w:val="0"/>
          <w:i w:val="0"/>
          <w:caps w:val="0"/>
          <w:color w:val="555555"/>
          <w:spacing w:val="-10"/>
          <w:sz w:val="36"/>
          <w:szCs w:val="36"/>
          <w:bdr w:val="none" w:color="auto" w:sz="0" w:space="0"/>
          <w:shd w:val="clear" w:fill="FFFFFF"/>
          <w:lang w:val="en-US"/>
        </w:rPr>
        <w:t>专项公开招聘教师报名登记表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08"/>
        <w:jc w:val="center"/>
        <w:rPr>
          <w:rFonts w:hint="eastAsia" w:ascii="微软雅黑" w:hAnsi="微软雅黑" w:eastAsia="微软雅黑" w:cs="微软雅黑"/>
        </w:rPr>
      </w:pPr>
      <w:r>
        <w:rPr>
          <w:rFonts w:hint="default" w:ascii="仿宋_GB2312" w:hAnsi="微软雅黑" w:eastAsia="仿宋_GB2312" w:cs="仿宋_GB2312"/>
          <w:b/>
          <w:i w:val="0"/>
          <w:caps w:val="0"/>
          <w:color w:val="555555"/>
          <w:spacing w:val="-10"/>
          <w:sz w:val="32"/>
          <w:szCs w:val="32"/>
          <w:bdr w:val="none" w:color="auto" w:sz="0" w:space="0"/>
          <w:shd w:val="clear" w:fill="FFFFFF"/>
          <w:lang w:val="en-US"/>
        </w:rPr>
        <w:t> </w:t>
      </w:r>
    </w:p>
    <w:tbl>
      <w:tblPr>
        <w:tblW w:w="946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750"/>
        <w:gridCol w:w="577"/>
        <w:gridCol w:w="259"/>
        <w:gridCol w:w="259"/>
        <w:gridCol w:w="259"/>
        <w:gridCol w:w="85"/>
        <w:gridCol w:w="7"/>
        <w:gridCol w:w="167"/>
        <w:gridCol w:w="230"/>
        <w:gridCol w:w="29"/>
        <w:gridCol w:w="245"/>
        <w:gridCol w:w="14"/>
        <w:gridCol w:w="259"/>
        <w:gridCol w:w="259"/>
        <w:gridCol w:w="236"/>
        <w:gridCol w:w="282"/>
        <w:gridCol w:w="259"/>
        <w:gridCol w:w="259"/>
        <w:gridCol w:w="240"/>
        <w:gridCol w:w="19"/>
        <w:gridCol w:w="259"/>
        <w:gridCol w:w="236"/>
        <w:gridCol w:w="282"/>
        <w:gridCol w:w="259"/>
        <w:gridCol w:w="266"/>
        <w:gridCol w:w="64"/>
        <w:gridCol w:w="696"/>
        <w:gridCol w:w="204"/>
        <w:gridCol w:w="178"/>
        <w:gridCol w:w="784"/>
        <w:gridCol w:w="154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cantSplit/>
          <w:trHeight w:val="534" w:hRule="atLeast"/>
          <w:jc w:val="center"/>
        </w:trPr>
        <w:tc>
          <w:tcPr>
            <w:tcW w:w="1327"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姓</w:t>
            </w:r>
            <w:r>
              <w:rPr>
                <w:rFonts w:hint="default" w:ascii="仿宋_GB2312" w:hAnsi="Times New Roman" w:eastAsia="仿宋_GB2312" w:cs="仿宋_GB2312"/>
                <w:sz w:val="24"/>
                <w:szCs w:val="24"/>
                <w:bdr w:val="none" w:color="auto" w:sz="0" w:space="0"/>
                <w:lang w:val="en-US"/>
              </w:rPr>
              <w:t> </w:t>
            </w:r>
            <w:r>
              <w:rPr>
                <w:rFonts w:hint="default" w:ascii="仿宋_GB2312" w:hAnsi="微软雅黑" w:eastAsia="仿宋_GB2312" w:cs="仿宋_GB2312"/>
                <w:sz w:val="24"/>
                <w:szCs w:val="24"/>
                <w:bdr w:val="none" w:color="auto" w:sz="0" w:space="0"/>
              </w:rPr>
              <w:t>名</w:t>
            </w:r>
          </w:p>
        </w:tc>
        <w:tc>
          <w:tcPr>
            <w:tcW w:w="1540" w:type="dxa"/>
            <w:gridSpan w:val="9"/>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768"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性别</w:t>
            </w:r>
          </w:p>
        </w:tc>
        <w:tc>
          <w:tcPr>
            <w:tcW w:w="1040" w:type="dxa"/>
            <w:gridSpan w:val="4"/>
            <w:tcBorders>
              <w:top w:val="single" w:color="auto" w:sz="8" w:space="0"/>
              <w:left w:val="nil"/>
              <w:bottom w:val="single" w:color="auto" w:sz="8" w:space="0"/>
              <w:right w:val="nil"/>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321" w:type="dxa"/>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出生年月</w:t>
            </w:r>
          </w:p>
        </w:tc>
        <w:tc>
          <w:tcPr>
            <w:tcW w:w="1925"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54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95" w:hRule="atLeast"/>
          <w:jc w:val="center"/>
        </w:trPr>
        <w:tc>
          <w:tcPr>
            <w:tcW w:w="13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号</w:t>
            </w:r>
            <w:r>
              <w:rPr>
                <w:rFonts w:hint="default" w:ascii="仿宋_GB2312" w:hAnsi="Times New Roman" w:eastAsia="仿宋_GB2312" w:cs="仿宋_GB2312"/>
                <w:sz w:val="24"/>
                <w:szCs w:val="24"/>
                <w:bdr w:val="none" w:color="auto" w:sz="0" w:space="0"/>
                <w:lang w:val="en-US"/>
              </w:rPr>
              <w:t> </w:t>
            </w:r>
            <w:r>
              <w:rPr>
                <w:rFonts w:hint="default" w:ascii="仿宋_GB2312" w:hAnsi="微软雅黑" w:eastAsia="仿宋_GB2312" w:cs="仿宋_GB2312"/>
                <w:sz w:val="24"/>
                <w:szCs w:val="24"/>
                <w:bdr w:val="none" w:color="auto" w:sz="0" w:space="0"/>
              </w:rPr>
              <w:t>码</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gridSpan w:val="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3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8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3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8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6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760"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籍贯</w:t>
            </w:r>
          </w:p>
        </w:tc>
        <w:tc>
          <w:tcPr>
            <w:tcW w:w="1165" w:type="dxa"/>
            <w:gridSpan w:val="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54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40" w:hRule="atLeast"/>
          <w:jc w:val="center"/>
        </w:trPr>
        <w:tc>
          <w:tcPr>
            <w:tcW w:w="13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政治面貌</w:t>
            </w:r>
          </w:p>
        </w:tc>
        <w:tc>
          <w:tcPr>
            <w:tcW w:w="1540" w:type="dxa"/>
            <w:gridSpan w:val="9"/>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768"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民族</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321"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资格证号</w:t>
            </w:r>
          </w:p>
        </w:tc>
        <w:tc>
          <w:tcPr>
            <w:tcW w:w="1925" w:type="dxa"/>
            <w:gridSpan w:val="5"/>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54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83" w:hRule="atLeast"/>
          <w:jc w:val="center"/>
        </w:trPr>
        <w:tc>
          <w:tcPr>
            <w:tcW w:w="13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毕业学校</w:t>
            </w:r>
          </w:p>
        </w:tc>
        <w:tc>
          <w:tcPr>
            <w:tcW w:w="2308" w:type="dxa"/>
            <w:gridSpan w:val="1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所学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专业</w:t>
            </w:r>
          </w:p>
        </w:tc>
        <w:tc>
          <w:tcPr>
            <w:tcW w:w="1321"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925" w:type="dxa"/>
            <w:gridSpan w:val="5"/>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毕业时间</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24" w:hRule="atLeast"/>
          <w:jc w:val="center"/>
        </w:trPr>
        <w:tc>
          <w:tcPr>
            <w:tcW w:w="13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工作单位</w:t>
            </w:r>
          </w:p>
        </w:tc>
        <w:tc>
          <w:tcPr>
            <w:tcW w:w="2308" w:type="dxa"/>
            <w:gridSpan w:val="1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普通话等级</w:t>
            </w:r>
          </w:p>
        </w:tc>
        <w:tc>
          <w:tcPr>
            <w:tcW w:w="1321"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 w:right="-107" w:hanging="230"/>
              <w:jc w:val="center"/>
              <w:rPr>
                <w:rFonts w:hint="eastAsia" w:ascii="微软雅黑" w:hAnsi="微软雅黑" w:eastAsia="微软雅黑" w:cs="微软雅黑"/>
              </w:rPr>
            </w:pPr>
            <w:r>
              <w:rPr>
                <w:rFonts w:hint="default" w:ascii="仿宋_GB2312" w:hAnsi="Times New Roman" w:eastAsia="仿宋_GB2312" w:cs="仿宋_GB2312"/>
                <w:sz w:val="24"/>
                <w:szCs w:val="24"/>
                <w:bdr w:val="none" w:color="auto" w:sz="0" w:space="0"/>
                <w:lang w:val="en-US"/>
              </w:rPr>
              <w:t> </w:t>
            </w:r>
          </w:p>
        </w:tc>
        <w:tc>
          <w:tcPr>
            <w:tcW w:w="1925" w:type="dxa"/>
            <w:gridSpan w:val="5"/>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 w:right="-107" w:hanging="230"/>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培养方式</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40" w:hRule="atLeast"/>
          <w:jc w:val="center"/>
        </w:trPr>
        <w:tc>
          <w:tcPr>
            <w:tcW w:w="13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学历</w:t>
            </w:r>
          </w:p>
        </w:tc>
        <w:tc>
          <w:tcPr>
            <w:tcW w:w="1266" w:type="dxa"/>
            <w:gridSpan w:val="7"/>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042"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学位</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321"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职称</w:t>
            </w:r>
          </w:p>
        </w:tc>
        <w:tc>
          <w:tcPr>
            <w:tcW w:w="1142"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78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有何特长</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85" w:hRule="atLeast"/>
          <w:jc w:val="center"/>
        </w:trPr>
        <w:tc>
          <w:tcPr>
            <w:tcW w:w="13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现居住地</w:t>
            </w:r>
          </w:p>
        </w:tc>
        <w:tc>
          <w:tcPr>
            <w:tcW w:w="3348" w:type="dxa"/>
            <w:gridSpan w:val="17"/>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321"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联系电话</w:t>
            </w:r>
          </w:p>
        </w:tc>
        <w:tc>
          <w:tcPr>
            <w:tcW w:w="1142"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78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手机</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3" w:hRule="atLeast"/>
          <w:jc w:val="center"/>
        </w:trPr>
        <w:tc>
          <w:tcPr>
            <w:tcW w:w="13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通讯地址</w:t>
            </w:r>
          </w:p>
        </w:tc>
        <w:tc>
          <w:tcPr>
            <w:tcW w:w="3348" w:type="dxa"/>
            <w:gridSpan w:val="17"/>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321"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E-mail</w:t>
            </w:r>
          </w:p>
        </w:tc>
        <w:tc>
          <w:tcPr>
            <w:tcW w:w="1142"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78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邮编</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35" w:hRule="atLeast"/>
          <w:jc w:val="center"/>
        </w:trPr>
        <w:tc>
          <w:tcPr>
            <w:tcW w:w="2189"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107"/>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主要简历（何年何月至何年何月在何学校学习、工作，任何职务）</w:t>
            </w:r>
          </w:p>
        </w:tc>
        <w:tc>
          <w:tcPr>
            <w:tcW w:w="7274" w:type="dxa"/>
            <w:gridSpan w:val="25"/>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76" w:hRule="atLeast"/>
          <w:jc w:val="center"/>
        </w:trPr>
        <w:tc>
          <w:tcPr>
            <w:tcW w:w="2189"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107"/>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主要教育教学、科研或学习业绩（论文、作品发表情况）</w:t>
            </w:r>
          </w:p>
        </w:tc>
        <w:tc>
          <w:tcPr>
            <w:tcW w:w="7274" w:type="dxa"/>
            <w:gridSpan w:val="25"/>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6" w:hRule="atLeast"/>
          <w:jc w:val="center"/>
        </w:trPr>
        <w:tc>
          <w:tcPr>
            <w:tcW w:w="2189"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奖惩情况</w:t>
            </w:r>
          </w:p>
        </w:tc>
        <w:tc>
          <w:tcPr>
            <w:tcW w:w="7274" w:type="dxa"/>
            <w:gridSpan w:val="25"/>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90" w:hRule="atLeast"/>
          <w:jc w:val="center"/>
        </w:trPr>
        <w:tc>
          <w:tcPr>
            <w:tcW w:w="2196" w:type="dxa"/>
            <w:gridSpan w:val="7"/>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应聘学校</w:t>
            </w:r>
          </w:p>
        </w:tc>
        <w:tc>
          <w:tcPr>
            <w:tcW w:w="3864" w:type="dxa"/>
            <w:gridSpan w:val="19"/>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900"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岗位</w:t>
            </w:r>
          </w:p>
        </w:tc>
        <w:tc>
          <w:tcPr>
            <w:tcW w:w="2503" w:type="dxa"/>
            <w:gridSpan w:val="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1752" w:hRule="atLeast"/>
          <w:jc w:val="center"/>
        </w:trPr>
        <w:tc>
          <w:tcPr>
            <w:tcW w:w="75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承诺</w:t>
            </w:r>
          </w:p>
        </w:tc>
        <w:tc>
          <w:tcPr>
            <w:tcW w:w="8713" w:type="dxa"/>
            <w:gridSpan w:val="30"/>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firstLine="480"/>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本人承诺，所提供报名信息及报名材料属实，并学习了解《事业单位公开招聘违纪违规行为处理规定》（人社部令第</w:t>
            </w:r>
            <w:r>
              <w:rPr>
                <w:rFonts w:hint="default" w:ascii="Times New Roman" w:hAnsi="Times New Roman" w:eastAsia="微软雅黑" w:cs="Times New Roman"/>
                <w:sz w:val="24"/>
                <w:szCs w:val="24"/>
                <w:bdr w:val="none" w:color="auto" w:sz="0" w:space="0"/>
                <w:lang w:val="en-US"/>
              </w:rPr>
              <w:t>35</w:t>
            </w:r>
            <w:r>
              <w:rPr>
                <w:rFonts w:hint="default" w:ascii="仿宋_GB2312" w:hAnsi="微软雅黑" w:eastAsia="仿宋_GB2312" w:cs="仿宋_GB2312"/>
                <w:sz w:val="24"/>
                <w:szCs w:val="24"/>
                <w:bdr w:val="none" w:color="auto" w:sz="0" w:space="0"/>
              </w:rPr>
              <w:t>号）。若提供信息不属实，一经查实</w:t>
            </w:r>
            <w:r>
              <w:rPr>
                <w:rFonts w:hint="default" w:ascii="Times New Roman" w:hAnsi="Times New Roman" w:eastAsia="微软雅黑" w:cs="Times New Roman"/>
                <w:sz w:val="24"/>
                <w:szCs w:val="24"/>
                <w:bdr w:val="none" w:color="auto" w:sz="0" w:space="0"/>
                <w:lang w:val="en-US"/>
              </w:rPr>
              <w:t>,</w:t>
            </w:r>
            <w:r>
              <w:rPr>
                <w:rFonts w:hint="default" w:ascii="仿宋_GB2312" w:hAnsi="微软雅黑" w:eastAsia="仿宋_GB2312" w:cs="仿宋_GB2312"/>
                <w:sz w:val="24"/>
                <w:szCs w:val="24"/>
                <w:bdr w:val="none" w:color="auto" w:sz="0" w:space="0"/>
              </w:rPr>
              <w:t>本人将自觉接受被取消应聘资格的后果。特此承诺。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firstLine="5400"/>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考生签字：</w:t>
            </w:r>
            <w:r>
              <w:rPr>
                <w:rFonts w:hint="default" w:ascii="仿宋_GB2312" w:hAnsi="Times New Roman" w:eastAsia="仿宋_GB2312" w:cs="仿宋_GB2312"/>
                <w:sz w:val="24"/>
                <w:szCs w:val="24"/>
                <w:bdr w:val="none" w:color="auto" w:sz="0" w:space="0"/>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firstLine="6360"/>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年</w:t>
            </w:r>
            <w:r>
              <w:rPr>
                <w:rFonts w:hint="default" w:ascii="仿宋_GB2312" w:hAnsi="Times New Roman" w:eastAsia="仿宋_GB2312" w:cs="仿宋_GB2312"/>
                <w:sz w:val="24"/>
                <w:szCs w:val="24"/>
                <w:bdr w:val="none" w:color="auto" w:sz="0" w:space="0"/>
                <w:lang w:val="en-US"/>
              </w:rPr>
              <w:t>      </w:t>
            </w:r>
            <w:r>
              <w:rPr>
                <w:rFonts w:hint="default" w:ascii="仿宋_GB2312" w:hAnsi="微软雅黑" w:eastAsia="仿宋_GB2312" w:cs="仿宋_GB2312"/>
                <w:sz w:val="24"/>
                <w:szCs w:val="24"/>
                <w:bdr w:val="none" w:color="auto" w:sz="0" w:space="0"/>
              </w:rPr>
              <w:t>月</w:t>
            </w:r>
            <w:r>
              <w:rPr>
                <w:rFonts w:hint="default" w:ascii="仿宋_GB2312" w:hAnsi="Times New Roman" w:eastAsia="仿宋_GB2312" w:cs="仿宋_GB2312"/>
                <w:sz w:val="24"/>
                <w:szCs w:val="24"/>
                <w:bdr w:val="none" w:color="auto" w:sz="0" w:space="0"/>
                <w:lang w:val="en-US"/>
              </w:rPr>
              <w:t>     </w:t>
            </w:r>
            <w:r>
              <w:rPr>
                <w:rFonts w:hint="default" w:ascii="仿宋_GB2312" w:hAnsi="微软雅黑" w:eastAsia="仿宋_GB2312" w:cs="仿宋_GB2312"/>
                <w:sz w:val="24"/>
                <w:szCs w:val="24"/>
                <w:bdr w:val="none" w:color="auto" w:sz="0" w:space="0"/>
              </w:rPr>
              <w:t>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rPr>
          <w:rFonts w:hint="eastAsia" w:ascii="微软雅黑" w:hAnsi="微软雅黑" w:eastAsia="微软雅黑" w:cs="微软雅黑"/>
          <w:b/>
          <w:i w:val="0"/>
          <w:caps w:val="0"/>
          <w:color w:val="2290FF"/>
          <w:spacing w:val="0"/>
          <w:sz w:val="36"/>
          <w:szCs w:val="36"/>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D020A"/>
    <w:rsid w:val="4A3D02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2019-12-15T14:51:00Z</dcterms:created>
  <dc:creator>水无鱼</dc:creator>
  <cp:lastModifiedBy>水无鱼</cp:lastModifiedBy>
  <dcterms:modified xsi:type="dcterms:W3CDTF">2019-12-15T15:45:53Z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