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858"/>
        <w:gridCol w:w="1125"/>
        <w:gridCol w:w="1050"/>
        <w:gridCol w:w="787"/>
        <w:gridCol w:w="4219"/>
        <w:gridCol w:w="919"/>
        <w:gridCol w:w="1110"/>
        <w:gridCol w:w="1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2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年温州外国语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面向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全国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公开招聘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教师岗位一览表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报名资格条件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学历等资格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户籍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岗位类别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优秀教师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语文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197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年1月1日以后出生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本专业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及以上，持有本专业教师资格证。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不限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</w:rPr>
              <w:t>教师类专业技术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英语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科学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科学教育或物理或化学专业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小学体育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年1月1日以后出生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本专业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及以上，持有本专业教师资格证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不限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</w:rPr>
              <w:t>教师类专业技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小学音乐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小学美术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00" w:firstLineChars="100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创客特长教师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年1月1日以后出生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本科及以上，持有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专业教师资格证。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不限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计算机软件编程或信息自动化专业等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9578C"/>
    <w:rsid w:val="4B695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2020-01-14T01:09:00Z</dcterms:created>
  <dc:creator>总司令</dc:creator>
  <cp:lastModifiedBy>总司令</cp:lastModifiedBy>
  <dcterms:modified xsi:type="dcterms:W3CDTF">2020-01-14T01:10:06Z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