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300" w:afterAutospacing="0" w:line="390" w:lineRule="atLeast"/>
        <w:ind w:left="0" w:right="0" w:firstLine="0"/>
        <w:jc w:val="center"/>
        <w:rPr>
          <w:rFonts w:ascii="微软雅黑" w:hAnsi="微软雅黑" w:eastAsia="微软雅黑" w:cs="微软雅黑"/>
          <w:i w:val="0"/>
          <w:caps w:val="0"/>
          <w:color w:val="000000"/>
          <w:spacing w:val="0"/>
          <w:sz w:val="30"/>
          <w:szCs w:val="30"/>
        </w:rPr>
      </w:pPr>
      <w:r>
        <w:rPr>
          <w:rFonts w:hint="eastAsia" w:ascii="微软雅黑" w:hAnsi="微软雅黑" w:eastAsia="微软雅黑" w:cs="微软雅黑"/>
          <w:i w:val="0"/>
          <w:caps w:val="0"/>
          <w:color w:val="000000"/>
          <w:spacing w:val="0"/>
          <w:sz w:val="30"/>
          <w:szCs w:val="30"/>
          <w:bdr w:val="none" w:color="auto" w:sz="0" w:space="0"/>
        </w:rPr>
        <w:t>双峰县2020年县直事业单位引进 高学历（专门）人才公告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按照《双峰县中长期人才发展规划纲要（2011-2020年）》的要求，根据《双峰县人才引进实施办法》，为优化我县人才队伍结构，经县委人才工作领导小组研究，决定面向社会定向引进一批优秀人才到县直事业单位工作。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一、引进对象及资格条件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（一）定向引进对象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1.高学历人才。高学历人才是全国高等院校计划内招收年龄在35周岁以下的全日制硕士研究生和年龄在40周岁以下的全日制博士研究生。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2.专门人才。专门人才是我县特殊岗位，如艺术、广播、编导、金融、电子信息、通信工程等某一方面具有专业特长或特殊技能，年龄在35周岁以下；或具有全日制“双一流”大学本科毕业，年龄在30周岁以下的专门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上述对象学历学位取得时间截至2020年7月31日。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（二）资格条件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1. 政治思想素质高，理想信念坚定，甘于吃苦，乐于奉献，学习成绩优良。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2.大学本科生年龄在30周岁以下（1990年1月1日以后出生，年龄计算以此类推），硕士研究生年龄在35周岁以下，博士研究生年龄在40周岁以下。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备注：以全日制本科专业报名的全日制硕士研究生，其年龄要求比照全日制硕士研究生（以此类推）。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3. 身体健康，符合国家招考公务员录用体检标准。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4. 具有职位要求的其他资格条件。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5. 法律法规规定的其他条件。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具有以下情形之一的不符合资格条件：因犯罪受过刑事处罚的；曾被开除公职或学籍的；受党纪政纪处分尚未解除的；因违法违纪正被调查处理的；已纳入双峰县编制管理的。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二、引进计划和数量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2020年全县引进高学历层次人才共21个岗位26人（具体职位见附件1）。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三、引进程序和方法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本次人才引进，按发布公告、报名及资格初审、考试、考察及资格复审、体检与公示、聘用等程序进行。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在双峰网和双峰电视台及省市有关人才网站发布公告，发布公告时间截至报名开始日止不少于7个工作日（同时到省内各大高校宣传发动）。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（二）报名及资格初审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报名时间：2020年4月13日至4月17日。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报名地点：双峰县委组织部人才办。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报名方式：采用现场报名、传真和电子邮件等方式进行。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①现场报名人员须携带本人有效身份证、毕业证、学位证（2020年应届毕业生必须由所在院校提供相应学历、学位和毕业时间等证明材料）、个人学习及工作简历、同底版1寸免冠彩色近照3张等材料，提交上述材料的复印件各一份（在职人员还须提交所在单位同意报名证明），并填写《双峰县引进高学历（专门）人才报名登记表》（见附件2）到指定地点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②通过信函、传真、电子邮件等方式报名的人员请将填写好的《双峰县引进高学历（专门）人才报名登记表》以及本人有效身份证、学位证、毕业证、个人学习及工作简历、同底1寸免冠彩色近照等扫描图像以电子文档形式发送到指定邮箱（sfxrcb@aliyun.com），报名截止前拨打电话0738-6835610予以确认。领取准考证时需提供本人身份证、学位证、毕业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联系电话：0738－6835610。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（三）考察、考核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报名人员经资格审查，符合报名条件者汇总后分以下三种情形进行考核、考察。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①如果报名人员与所需职位的比例没有超过5：1（含）的，由县委组织部牵头组织相关单位进行面试。按面试成绩从高分到低分等额进行考察(面试成绩相同的，由县委人才工作领导小组商定后报市人社局核准)，由县委组织部牵头，县委编办、县人社局和用人单位派人组成考察组考察。如考察有不合格者则按名次（即高分到低分）依次递补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②如果报名人员与所需职位的比例超过5：1（不含）的，则先组织笔试；笔试后取前5名进入面试，再按笔试成绩和面试成绩各占50%，合成综合成绩后，按综合成绩从高分到低分等额进行考察（综合成绩相同的，以笔试成绩从高到低排名）。如考察有不合格者则按名次（即高分到低分）依次递补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③如果报名人员与所需职位的比例为1：1，则用简易程序进行引进，即由县委组织部牵头，由县委编办、县人社局和用人单位派人组成考察组，进行考察确定。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考察主要对其思想政治表现、遵纪守法、道德品质、业务能力、工作实绩、岗位匹配度等方面的情况进行综合评定。考察包括资格复审工作。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（四）体检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根据考察结果，由考察组集体研究确定拟聘对象后组织体检（体检标准参照最新版《公务员录用体检通用标准（试行）》执行）。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（五）公示和录（聘）用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对体检、考核合格的人员，提交县委组织部部务会研究后报县委人才工作领导小组集体决定是否录（聘）用。所有录聘人员在双峰网和双峰电视台公示7天，公示期满符合录（聘）条件的报市人社局审核备案后由招聘单位和主管部门按程序办理相关聘用手续。对应届毕业生，可先签定三方协议，待考生取得学历学位证书等岗位规定的资格证书后再签订聘用合同、办理相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四、引才政策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（一）引进的硕士或博士研究生，定向安排到有关部门（单位），作为事业编制干部使用。引进人员中，原有工作单位的试用期三个月，没有工作单位的，试用期一年，试用期间享受用人单位正式干部职工待遇。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（二）引进的硕士或博士研究生由组织部门负责跟踪管理，均作为战略后备干部进行重点培养和使用。明确所在单位的分管县团领导为第一培养人，单位一把手作为具体培养人。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（三）试用期满，考核合格的享受国家规定的待遇，考核不合格的取消聘用资格。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四）引进人才与用人单位签订5年以上服务期协议，其工作时间均在引进单位上班的，除正常的工资、福利待遇外，5年内每月享受生活补贴。高学历人才每月1500元，专门人才每月1000元，以上补贴由县委人才工作领导小组办公室按报到之后的下月起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（五）引进人才5年内每年发给住房补贴，高学历人才和专门人才每年2万元，该项补助由用人单位发放。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（六）引进人才原则上在编制限额内进行引进，对特别急需的个别专业人才，而用人单位又无编制空额的可先引进，三年内消化到位。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（七）优化服务。对人才引进相关事项实行“一站式”服务，其人事关系转入、户口迁移、社会保险等服务事项由招聘单位在规定时间内负责办理。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（八）引进人才在双峰的最低服务年限为5年。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五、其他事项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（一）报名人员要保持通讯畅通；原则上报名填报的手机通讯必须在本次招聘完成前保持畅通，如在本次招聘过程中，更换手机号码，没有及时告知县委人才办，导致在本次招聘过程中联系不上，视为主动放弃。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（二）从事本次人才引进工作的所有工作人员须严格遵守回避规定；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（三）本公告未尽事宜，由中共双峰县委人才工作领导小组办公室负责解释。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咨询电话：0738－6835610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电子邮箱：sfxrcb@aliyun.com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中共双峰县委人才工作领导小组办公室地址：双峰县新行政中心5435办公室。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邮编：417700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附件：1.2020年双峰县引进高学历（专门）人才岗位表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2.双峰县引进高学历（专门）人才报名登记表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3.“双一流”建设高校名单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righ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中共双峰县委人才工作领导小组办公室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righ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2020年3月30日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left"/>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kern w:val="0"/>
          <w:sz w:val="21"/>
          <w:szCs w:val="21"/>
          <w:bdr w:val="none" w:color="auto" w:sz="0" w:space="0"/>
          <w:lang w:val="en-US" w:eastAsia="zh-CN" w:bidi="ar"/>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2020年双峰县引进高学历（专门）人才岗位表</w:t>
      </w:r>
      <w:r>
        <w:rPr>
          <w:rFonts w:ascii="方正小标宋简体" w:hAnsi="方正小标宋简体" w:eastAsia="方正小标宋简体" w:cs="方正小标宋简体"/>
          <w:i w:val="0"/>
          <w:caps w:val="0"/>
          <w:color w:val="000000"/>
          <w:spacing w:val="-23"/>
          <w:sz w:val="44"/>
          <w:szCs w:val="44"/>
          <w:bdr w:val="none" w:color="auto" w:sz="0" w:space="0"/>
        </w:rPr>
        <w:t> </w:t>
      </w:r>
    </w:p>
    <w:tbl>
      <w:tblPr>
        <w:tblW w:w="98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76"/>
        <w:gridCol w:w="1433"/>
        <w:gridCol w:w="1433"/>
        <w:gridCol w:w="1433"/>
        <w:gridCol w:w="1433"/>
        <w:gridCol w:w="1076"/>
        <w:gridCol w:w="1076"/>
        <w:gridCol w:w="10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34" w:hRule="atLeast"/>
          <w:jc w:val="center"/>
        </w:trPr>
        <w:tc>
          <w:tcPr>
            <w:tcW w:w="8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ascii="黑体" w:hAnsi="宋体" w:eastAsia="黑体" w:cs="黑体"/>
                <w:kern w:val="0"/>
                <w:sz w:val="24"/>
                <w:szCs w:val="24"/>
                <w:bdr w:val="none" w:color="auto" w:sz="0" w:space="0"/>
                <w:lang w:val="en-US" w:eastAsia="zh-CN" w:bidi="ar"/>
              </w:rPr>
              <w:t>序号</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引进单位</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主管单位</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专业要求</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学历要求</w:t>
            </w:r>
          </w:p>
        </w:tc>
        <w:tc>
          <w:tcPr>
            <w:tcW w:w="107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引进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人数</w:t>
            </w:r>
          </w:p>
        </w:tc>
        <w:tc>
          <w:tcPr>
            <w:tcW w:w="107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要求</w:t>
            </w:r>
          </w:p>
        </w:tc>
        <w:tc>
          <w:tcPr>
            <w:tcW w:w="107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0" w:lineRule="atLeast"/>
              <w:ind w:left="0" w:right="0" w:firstLine="420"/>
              <w:jc w:val="center"/>
              <w:rPr>
                <w:sz w:val="21"/>
                <w:szCs w:val="21"/>
              </w:rPr>
            </w:pPr>
            <w:r>
              <w:rPr>
                <w:rFonts w:hint="eastAsia" w:ascii="黑体" w:hAnsi="宋体" w:eastAsia="黑体" w:cs="黑体"/>
                <w:kern w:val="0"/>
                <w:sz w:val="24"/>
                <w:szCs w:val="24"/>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ascii="仿宋_GB2312" w:eastAsia="仿宋_GB2312" w:cs="仿宋_GB2312" w:hAnsiTheme="minorHAnsi"/>
                <w:kern w:val="0"/>
                <w:sz w:val="21"/>
                <w:szCs w:val="21"/>
                <w:bdr w:val="none" w:color="auto" w:sz="0" w:space="0"/>
                <w:lang w:val="en-US" w:eastAsia="zh-CN" w:bidi="ar"/>
              </w:rPr>
              <w:t>1</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双峰县人民医院</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双峰县卫生健康局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肝胆外科</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2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2</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双峰县人民医院</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双峰县卫生健康局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心血管内科</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2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3</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双峰县人民医院</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双峰县卫生健康局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骨外科</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4</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双峰县中医院</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双峰县卫生健康局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神经内科</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5</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双峰县中医院</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双峰县卫生健康局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中医骨科</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0" w:lineRule="atLeast"/>
              <w:ind w:left="0" w:right="0" w:firstLine="420"/>
              <w:jc w:val="center"/>
              <w:rPr>
                <w:sz w:val="21"/>
                <w:szCs w:val="21"/>
              </w:rPr>
            </w:pPr>
            <w:r>
              <w:rPr>
                <w:rFonts w:hint="eastAsia" w:ascii="仿宋_GB2312" w:eastAsia="仿宋_GB2312" w:cs="仿宋_GB2312" w:hAnsiTheme="minorHAnsi"/>
                <w:kern w:val="0"/>
                <w:sz w:val="18"/>
                <w:szCs w:val="18"/>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6</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双峰县妇幼保健计划生育服务中心</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双峰县卫生健康局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妇产科</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2</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0" w:lineRule="atLeast"/>
              <w:ind w:left="0" w:right="0" w:firstLine="420"/>
              <w:jc w:val="center"/>
              <w:rPr>
                <w:sz w:val="21"/>
                <w:szCs w:val="21"/>
              </w:rPr>
            </w:pPr>
            <w:r>
              <w:rPr>
                <w:rFonts w:hint="eastAsia" w:ascii="仿宋_GB2312" w:eastAsia="仿宋_GB2312" w:cs="仿宋_GB2312" w:hAnsiTheme="minorHAnsi"/>
                <w:kern w:val="0"/>
                <w:sz w:val="18"/>
                <w:szCs w:val="18"/>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7</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双峰县妇幼保健计划生育服务中心</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双峰县卫生健康局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儿科</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2</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60" w:lineRule="atLeast"/>
              <w:ind w:left="0" w:right="0" w:firstLine="420"/>
              <w:jc w:val="center"/>
              <w:rPr>
                <w:sz w:val="21"/>
                <w:szCs w:val="21"/>
              </w:rPr>
            </w:pPr>
            <w:r>
              <w:rPr>
                <w:rFonts w:hint="eastAsia" w:ascii="仿宋_GB2312" w:eastAsia="仿宋_GB2312" w:cs="仿宋_GB2312" w:hAnsiTheme="minorHAnsi"/>
                <w:kern w:val="0"/>
                <w:sz w:val="18"/>
                <w:szCs w:val="18"/>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8</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双峰县疾病预防控制中心</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双峰县卫生健康局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预防医学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2</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2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tbl>
      <w:tblPr>
        <w:tblW w:w="98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6"/>
        <w:gridCol w:w="1435"/>
        <w:gridCol w:w="1435"/>
        <w:gridCol w:w="1435"/>
        <w:gridCol w:w="1458"/>
        <w:gridCol w:w="1054"/>
        <w:gridCol w:w="1077"/>
        <w:gridCol w:w="10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47" w:hRule="atLeast"/>
          <w:jc w:val="center"/>
        </w:trPr>
        <w:tc>
          <w:tcPr>
            <w:tcW w:w="8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9</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双峰县第一中学</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音乐</w:t>
            </w:r>
          </w:p>
        </w:tc>
        <w:tc>
          <w:tcPr>
            <w:tcW w:w="145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5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10</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双峰县第一中学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英语</w:t>
            </w:r>
          </w:p>
        </w:tc>
        <w:tc>
          <w:tcPr>
            <w:tcW w:w="1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11</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双峰县第一中学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数学</w:t>
            </w:r>
          </w:p>
        </w:tc>
        <w:tc>
          <w:tcPr>
            <w:tcW w:w="1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2</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12</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双峰县第一中学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生物</w:t>
            </w:r>
          </w:p>
        </w:tc>
        <w:tc>
          <w:tcPr>
            <w:tcW w:w="1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2</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13</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双峰县第三中学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生物</w:t>
            </w:r>
          </w:p>
        </w:tc>
        <w:tc>
          <w:tcPr>
            <w:tcW w:w="1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14</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双峰县第三中学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美术</w:t>
            </w:r>
          </w:p>
        </w:tc>
        <w:tc>
          <w:tcPr>
            <w:tcW w:w="1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全日制大学本科</w:t>
            </w:r>
          </w:p>
        </w:tc>
        <w:tc>
          <w:tcPr>
            <w:tcW w:w="10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专门人才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15</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双峰县第五中学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化学</w:t>
            </w:r>
          </w:p>
        </w:tc>
        <w:tc>
          <w:tcPr>
            <w:tcW w:w="1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全日制“双一流”大学本科</w:t>
            </w:r>
          </w:p>
        </w:tc>
        <w:tc>
          <w:tcPr>
            <w:tcW w:w="10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专门人才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16</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双峰县第五中学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英语</w:t>
            </w:r>
          </w:p>
        </w:tc>
        <w:tc>
          <w:tcPr>
            <w:tcW w:w="1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全日制“双一流”大学本科</w:t>
            </w:r>
          </w:p>
        </w:tc>
        <w:tc>
          <w:tcPr>
            <w:tcW w:w="10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专门人才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2"/>
                <w:szCs w:val="22"/>
                <w:bdr w:val="none" w:color="auto" w:sz="0" w:space="0"/>
                <w:lang w:val="en-US" w:eastAsia="zh-CN" w:bidi="ar"/>
              </w:rPr>
              <w:t>17</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双峰县第五中学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语文</w:t>
            </w:r>
          </w:p>
        </w:tc>
        <w:tc>
          <w:tcPr>
            <w:tcW w:w="14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全日制“双一流”大学本科</w:t>
            </w:r>
          </w:p>
        </w:tc>
        <w:tc>
          <w:tcPr>
            <w:tcW w:w="10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专门人才</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tbl>
      <w:tblPr>
        <w:tblW w:w="98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6"/>
        <w:gridCol w:w="1435"/>
        <w:gridCol w:w="1435"/>
        <w:gridCol w:w="1435"/>
        <w:gridCol w:w="1428"/>
        <w:gridCol w:w="1084"/>
        <w:gridCol w:w="1077"/>
        <w:gridCol w:w="10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47" w:hRule="atLeast"/>
          <w:jc w:val="center"/>
        </w:trPr>
        <w:tc>
          <w:tcPr>
            <w:tcW w:w="86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18</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双峰县第七中学</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语文</w:t>
            </w:r>
          </w:p>
        </w:tc>
        <w:tc>
          <w:tcPr>
            <w:tcW w:w="142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8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19</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双峰县第七中学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英语</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20</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双峰县第七中学</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双峰县教育局</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物理</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相应学科高中以上教师资格证</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7" w:hRule="atLeast"/>
          <w:jc w:val="center"/>
        </w:trPr>
        <w:tc>
          <w:tcPr>
            <w:tcW w:w="8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left"/>
              <w:rPr>
                <w:sz w:val="21"/>
                <w:szCs w:val="21"/>
              </w:rPr>
            </w:pPr>
            <w:r>
              <w:rPr>
                <w:rFonts w:hint="eastAsia" w:ascii="仿宋_GB2312" w:eastAsia="仿宋_GB2312" w:cs="仿宋_GB2312" w:hAnsiTheme="minorHAnsi"/>
                <w:kern w:val="0"/>
                <w:sz w:val="21"/>
                <w:szCs w:val="21"/>
                <w:bdr w:val="none" w:color="auto" w:sz="0" w:space="0"/>
                <w:lang w:val="en-US" w:eastAsia="zh-CN" w:bidi="ar"/>
              </w:rPr>
              <w:t>21</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双峰县畜牧站</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双峰县畜牧水产事务中心</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畜牧兽医</w:t>
            </w:r>
          </w:p>
        </w:tc>
        <w:tc>
          <w:tcPr>
            <w:tcW w:w="142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全日制硕士研究生以上</w:t>
            </w:r>
          </w:p>
        </w:tc>
        <w:tc>
          <w:tcPr>
            <w:tcW w:w="108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1</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 </w:t>
            </w:r>
          </w:p>
        </w:tc>
        <w:tc>
          <w:tcPr>
            <w:tcW w:w="10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高学历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sz w:val="21"/>
                <w:szCs w:val="21"/>
              </w:rPr>
            </w:pPr>
            <w:r>
              <w:rPr>
                <w:rFonts w:hint="eastAsia" w:ascii="仿宋_GB2312" w:eastAsia="仿宋_GB2312" w:cs="仿宋_GB2312" w:hAnsiTheme="minorHAnsi"/>
                <w:kern w:val="0"/>
                <w:sz w:val="21"/>
                <w:szCs w:val="21"/>
                <w:bdr w:val="none" w:color="auto" w:sz="0" w:space="0"/>
                <w:lang w:val="en-US" w:eastAsia="zh-CN" w:bidi="ar"/>
              </w:rPr>
              <w:t>人才</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left"/>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双峰县引进高学历（专门）人才报名登记表</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3"/>
        <w:gridCol w:w="806"/>
        <w:gridCol w:w="1259"/>
        <w:gridCol w:w="807"/>
        <w:gridCol w:w="1259"/>
        <w:gridCol w:w="1260"/>
        <w:gridCol w:w="807"/>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姓名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性别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年月</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近期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免冠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籍贯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民族</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面貌</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学历</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时间</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婚否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院校</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专业名称</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号码</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联系电话</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职位</w:t>
            </w:r>
          </w:p>
        </w:tc>
        <w:tc>
          <w:tcPr>
            <w:tcW w:w="0" w:type="auto"/>
            <w:gridSpan w:val="7"/>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住址</w:t>
            </w:r>
          </w:p>
        </w:tc>
        <w:tc>
          <w:tcPr>
            <w:tcW w:w="0" w:type="auto"/>
            <w:gridSpan w:val="7"/>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简历</w:t>
            </w:r>
          </w:p>
        </w:tc>
        <w:tc>
          <w:tcPr>
            <w:tcW w:w="0" w:type="auto"/>
            <w:gridSpan w:val="7"/>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承诺</w:t>
            </w:r>
          </w:p>
        </w:tc>
        <w:tc>
          <w:tcPr>
            <w:tcW w:w="0" w:type="auto"/>
            <w:gridSpan w:val="7"/>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本人承诺所提供的材料真实有效，符合应聘岗位所需的资格条件。如有弄虚作假，承诺自动放弃考试和聘用资格。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报名人签名：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sz w:val="21"/>
                <w:szCs w:val="21"/>
              </w:rPr>
            </w:pPr>
            <w:r>
              <w:rPr>
                <w:rFonts w:hint="eastAsia" w:ascii="微软雅黑" w:hAnsi="微软雅黑" w:eastAsia="微软雅黑" w:cs="微软雅黑"/>
                <w:i w:val="0"/>
                <w:caps w:val="0"/>
                <w:color w:val="000000"/>
                <w:spacing w:val="0"/>
                <w:sz w:val="21"/>
                <w:szCs w:val="21"/>
                <w:bdr w:val="none" w:color="auto" w:sz="0" w:space="0"/>
              </w:rPr>
              <w:t>意见</w:t>
            </w:r>
          </w:p>
        </w:tc>
        <w:tc>
          <w:tcPr>
            <w:tcW w:w="0" w:type="auto"/>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000000"/>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“双一流”建设高校名单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（按学校代码排序）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一、一流大学建设高校42所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1.A类36所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2.B类6所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东北大学、郑州大学、湖南大学、云南大学、西北农林科技大学、新疆大学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Style w:val="7"/>
          <w:rFonts w:hint="eastAsia" w:ascii="微软雅黑" w:hAnsi="微软雅黑" w:eastAsia="微软雅黑" w:cs="微软雅黑"/>
          <w:i w:val="0"/>
          <w:caps w:val="0"/>
          <w:color w:val="000000"/>
          <w:spacing w:val="0"/>
          <w:sz w:val="21"/>
          <w:szCs w:val="21"/>
          <w:bdr w:val="none" w:color="auto" w:sz="0" w:space="0"/>
        </w:rPr>
        <w:t>二、一流学科建设高校95所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90"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7D61"/>
    <w:rsid w:val="6ECC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2020-04-08T05:06:00Z</dcterms:created>
  <dc:creator>王斌</dc:creator>
  <cp:lastModifiedBy>王斌</cp:lastModifiedBy>
  <dcterms:modified xsi:type="dcterms:W3CDTF">2020-04-08T05:19:05Z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