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eastAsia="方正黑体简体"/>
          <w:b/>
          <w:szCs w:val="20"/>
        </w:rPr>
      </w:pPr>
      <w:r>
        <w:rPr>
          <w:rFonts w:eastAsia="方正黑体简体"/>
          <w:b/>
          <w:szCs w:val="20"/>
        </w:rPr>
        <w:t>附件1</w:t>
      </w:r>
    </w:p>
    <w:p>
      <w:pPr>
        <w:spacing w:line="520" w:lineRule="exact"/>
        <w:rPr>
          <w:rFonts w:eastAsia="黑体"/>
          <w:sz w:val="36"/>
          <w:szCs w:val="36"/>
        </w:rPr>
      </w:pPr>
    </w:p>
    <w:p>
      <w:pPr>
        <w:adjustRightInd w:val="0"/>
        <w:snapToGrid w:val="0"/>
        <w:spacing w:line="520" w:lineRule="exact"/>
        <w:jc w:val="center"/>
        <w:rPr>
          <w:rFonts w:eastAsia="方正小标宋简体"/>
          <w:b/>
          <w:sz w:val="36"/>
          <w:szCs w:val="36"/>
        </w:rPr>
      </w:pPr>
      <w:r>
        <w:rPr>
          <w:rFonts w:eastAsia="方正小标宋简体"/>
          <w:b/>
          <w:sz w:val="36"/>
          <w:szCs w:val="36"/>
        </w:rPr>
        <w:t>乐山师范学院2020年5月公开招聘工作人员岗位和条件要求一览表</w:t>
      </w:r>
    </w:p>
    <w:p>
      <w:pPr>
        <w:tabs>
          <w:tab w:val="left" w:pos="8820"/>
        </w:tabs>
        <w:spacing w:line="400" w:lineRule="exact"/>
        <w:rPr>
          <w:rFonts w:eastAsia="黑体"/>
          <w:sz w:val="28"/>
          <w:szCs w:val="28"/>
          <w:shd w:val="pct10" w:color="auto" w:fill="FFFFFF"/>
        </w:rPr>
      </w:pPr>
    </w:p>
    <w:tbl>
      <w:tblPr>
        <w:tblStyle w:val="4"/>
        <w:tblW w:w="13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139"/>
        <w:gridCol w:w="988"/>
        <w:gridCol w:w="1275"/>
        <w:gridCol w:w="887"/>
        <w:gridCol w:w="956"/>
        <w:gridCol w:w="1134"/>
        <w:gridCol w:w="1134"/>
        <w:gridCol w:w="2268"/>
        <w:gridCol w:w="964"/>
        <w:gridCol w:w="709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95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楷体_GB2312"/>
                <w:szCs w:val="24"/>
              </w:rPr>
            </w:pPr>
            <w:r>
              <w:rPr>
                <w:rFonts w:eastAsia="楷体_GB2312"/>
                <w:szCs w:val="24"/>
              </w:rPr>
              <w:t>招聘单位</w:t>
            </w:r>
          </w:p>
        </w:tc>
        <w:tc>
          <w:tcPr>
            <w:tcW w:w="2127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eastAsia="楷体_GB2312"/>
                <w:szCs w:val="24"/>
              </w:rPr>
            </w:pPr>
            <w:r>
              <w:rPr>
                <w:rFonts w:eastAsia="楷体_GB2312"/>
                <w:szCs w:val="24"/>
              </w:rPr>
              <w:t>招聘岗位</w:t>
            </w:r>
          </w:p>
        </w:tc>
        <w:tc>
          <w:tcPr>
            <w:tcW w:w="1275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楷体_GB2312"/>
                <w:szCs w:val="24"/>
              </w:rPr>
            </w:pPr>
            <w:r>
              <w:rPr>
                <w:rFonts w:eastAsia="楷体_GB2312"/>
                <w:szCs w:val="24"/>
              </w:rPr>
              <w:t>岗位编码</w:t>
            </w:r>
          </w:p>
        </w:tc>
        <w:tc>
          <w:tcPr>
            <w:tcW w:w="887" w:type="dxa"/>
            <w:vMerge w:val="restart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eastAsia="楷体_GB2312"/>
                <w:szCs w:val="24"/>
              </w:rPr>
            </w:pPr>
            <w:r>
              <w:rPr>
                <w:rFonts w:eastAsia="楷体_GB2312"/>
                <w:szCs w:val="24"/>
              </w:rPr>
              <w:t>招聘人数</w:t>
            </w:r>
          </w:p>
        </w:tc>
        <w:tc>
          <w:tcPr>
            <w:tcW w:w="95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楷体_GB2312"/>
                <w:szCs w:val="24"/>
              </w:rPr>
            </w:pPr>
            <w:r>
              <w:rPr>
                <w:rFonts w:eastAsia="楷体_GB2312"/>
                <w:szCs w:val="24"/>
              </w:rPr>
              <w:t>招聘对象</w:t>
            </w:r>
          </w:p>
          <w:p>
            <w:pPr>
              <w:jc w:val="center"/>
              <w:rPr>
                <w:rFonts w:eastAsia="楷体_GB2312"/>
                <w:szCs w:val="24"/>
              </w:rPr>
            </w:pPr>
            <w:r>
              <w:rPr>
                <w:rFonts w:eastAsia="楷体_GB2312"/>
                <w:szCs w:val="24"/>
              </w:rPr>
              <w:t>范围</w:t>
            </w:r>
          </w:p>
        </w:tc>
        <w:tc>
          <w:tcPr>
            <w:tcW w:w="5500" w:type="dxa"/>
            <w:gridSpan w:val="4"/>
            <w:shd w:val="clear" w:color="auto" w:fill="auto"/>
            <w:noWrap w:val="0"/>
            <w:vAlign w:val="center"/>
          </w:tcPr>
          <w:p>
            <w:pPr>
              <w:ind w:left="291"/>
              <w:jc w:val="center"/>
              <w:rPr>
                <w:rFonts w:eastAsia="楷体_GB2312"/>
                <w:szCs w:val="24"/>
              </w:rPr>
            </w:pPr>
            <w:r>
              <w:rPr>
                <w:rFonts w:eastAsia="楷体_GB2312"/>
                <w:szCs w:val="24"/>
              </w:rPr>
              <w:t>其他条件要求</w:t>
            </w:r>
          </w:p>
        </w:tc>
        <w:tc>
          <w:tcPr>
            <w:tcW w:w="709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楷体_GB2312"/>
                <w:szCs w:val="24"/>
              </w:rPr>
            </w:pPr>
            <w:r>
              <w:rPr>
                <w:rFonts w:eastAsia="楷体_GB2312"/>
                <w:szCs w:val="24"/>
              </w:rPr>
              <w:t>笔试</w:t>
            </w:r>
          </w:p>
          <w:p>
            <w:pPr>
              <w:jc w:val="center"/>
              <w:rPr>
                <w:rFonts w:eastAsia="楷体_GB2312"/>
                <w:szCs w:val="24"/>
              </w:rPr>
            </w:pPr>
            <w:r>
              <w:rPr>
                <w:rFonts w:eastAsia="楷体_GB2312"/>
                <w:szCs w:val="24"/>
              </w:rPr>
              <w:t>开考</w:t>
            </w:r>
          </w:p>
          <w:p>
            <w:pPr>
              <w:jc w:val="center"/>
              <w:rPr>
                <w:rFonts w:eastAsia="楷体_GB2312"/>
                <w:szCs w:val="24"/>
              </w:rPr>
            </w:pPr>
            <w:r>
              <w:rPr>
                <w:rFonts w:eastAsia="楷体_GB2312"/>
                <w:szCs w:val="24"/>
              </w:rPr>
              <w:t>比例</w:t>
            </w:r>
          </w:p>
        </w:tc>
        <w:tc>
          <w:tcPr>
            <w:tcW w:w="1035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楷体_GB2312"/>
                <w:szCs w:val="24"/>
              </w:rPr>
            </w:pPr>
            <w:r>
              <w:rPr>
                <w:rFonts w:eastAsia="楷体_GB2312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楷体_GB2312"/>
                <w:sz w:val="22"/>
              </w:rPr>
            </w:pPr>
          </w:p>
        </w:tc>
        <w:tc>
          <w:tcPr>
            <w:tcW w:w="1139" w:type="dxa"/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eastAsia="楷体_GB2312"/>
                <w:sz w:val="22"/>
              </w:rPr>
            </w:pPr>
            <w:r>
              <w:rPr>
                <w:rFonts w:eastAsia="楷体_GB2312"/>
                <w:szCs w:val="24"/>
              </w:rPr>
              <w:t>岗位类别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楷体_GB2312"/>
                <w:sz w:val="22"/>
              </w:rPr>
            </w:pPr>
            <w:r>
              <w:rPr>
                <w:rFonts w:eastAsia="楷体_GB2312"/>
                <w:szCs w:val="24"/>
              </w:rPr>
              <w:t>岗位名称</w:t>
            </w:r>
          </w:p>
        </w:tc>
        <w:tc>
          <w:tcPr>
            <w:tcW w:w="1275" w:type="dxa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楷体_GB2312"/>
                <w:sz w:val="22"/>
              </w:rPr>
            </w:pPr>
          </w:p>
        </w:tc>
        <w:tc>
          <w:tcPr>
            <w:tcW w:w="887" w:type="dxa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楷体_GB2312"/>
                <w:sz w:val="22"/>
              </w:rPr>
            </w:pPr>
          </w:p>
        </w:tc>
        <w:tc>
          <w:tcPr>
            <w:tcW w:w="95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楷体_GB2312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楷体_GB2312"/>
                <w:szCs w:val="24"/>
              </w:rPr>
            </w:pPr>
            <w:r>
              <w:rPr>
                <w:rFonts w:eastAsia="楷体_GB2312"/>
                <w:szCs w:val="24"/>
              </w:rPr>
              <w:t>年龄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楷体_GB2312"/>
                <w:szCs w:val="24"/>
              </w:rPr>
            </w:pPr>
            <w:r>
              <w:rPr>
                <w:rFonts w:eastAsia="楷体_GB2312"/>
                <w:szCs w:val="24"/>
              </w:rPr>
              <w:t>学历</w:t>
            </w:r>
          </w:p>
          <w:p>
            <w:pPr>
              <w:jc w:val="center"/>
              <w:rPr>
                <w:rFonts w:eastAsia="楷体_GB2312"/>
                <w:szCs w:val="24"/>
              </w:rPr>
            </w:pPr>
            <w:r>
              <w:rPr>
                <w:rFonts w:eastAsia="楷体_GB2312"/>
                <w:szCs w:val="24"/>
              </w:rPr>
              <w:t>或学位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楷体_GB2312"/>
                <w:szCs w:val="24"/>
              </w:rPr>
            </w:pPr>
            <w:r>
              <w:rPr>
                <w:rFonts w:eastAsia="楷体_GB2312"/>
                <w:szCs w:val="24"/>
              </w:rPr>
              <w:t>专业条件要求</w:t>
            </w:r>
          </w:p>
        </w:tc>
        <w:tc>
          <w:tcPr>
            <w:tcW w:w="96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eastAsia="楷体_GB2312"/>
                <w:szCs w:val="24"/>
              </w:rPr>
            </w:pPr>
            <w:r>
              <w:rPr>
                <w:rFonts w:eastAsia="楷体_GB2312"/>
                <w:szCs w:val="24"/>
              </w:rPr>
              <w:t>其他</w:t>
            </w:r>
          </w:p>
        </w:tc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黑体"/>
                <w:sz w:val="22"/>
              </w:rPr>
            </w:pPr>
          </w:p>
        </w:tc>
        <w:tc>
          <w:tcPr>
            <w:tcW w:w="1035" w:type="dxa"/>
            <w:vMerge w:val="continue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eastAsia="黑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乐山师范学院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专业技术岗位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马克思主义学院专任教师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1202001</w:t>
            </w:r>
          </w:p>
        </w:tc>
        <w:tc>
          <w:tcPr>
            <w:tcW w:w="887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详见公告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1985年1月1日及以后出生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研究生学历、硕士及以上学位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马克思主义理论及其所属以下专业：马克思主义基本原理、马克思主义发展史、马克思主义中国化研究、国外马克思主义研究、中国近现代史基本问题研究、党的建设、思想政治教育；中国近现代史、中国史（中国近现代史方向）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>政治面貌为中共党员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left"/>
              <w:rPr>
                <w:szCs w:val="24"/>
              </w:rPr>
            </w:pPr>
            <w:r>
              <w:rPr>
                <w:szCs w:val="24"/>
              </w:rPr>
              <w:t>2:1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乐山师范学院</w:t>
            </w:r>
          </w:p>
        </w:tc>
        <w:tc>
          <w:tcPr>
            <w:tcW w:w="113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专业技术岗位</w:t>
            </w:r>
          </w:p>
        </w:tc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数学与信息科学学院专任教师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1202002</w:t>
            </w:r>
          </w:p>
        </w:tc>
        <w:tc>
          <w:tcPr>
            <w:tcW w:w="887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详见公告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1985年1月1日及以后出生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研究生学历、硕士及以上学位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数理金融学、金融学、金融（金融学）、金融数学、金融工程、数量经济学、金融数学与金融工程、金融数学与计量经济学、数学（金融数学方向）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>
            <w:pPr>
              <w:spacing w:line="360" w:lineRule="exact"/>
              <w:jc w:val="left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jc w:val="left"/>
              <w:rPr>
                <w:szCs w:val="24"/>
              </w:rPr>
            </w:pPr>
            <w:r>
              <w:rPr>
                <w:szCs w:val="24"/>
              </w:rPr>
              <w:t>2:1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szCs w:val="24"/>
              </w:rPr>
            </w:pPr>
          </w:p>
        </w:tc>
      </w:tr>
    </w:tbl>
    <w:p>
      <w:r>
        <w:rPr>
          <w:rFonts w:eastAsia="楷体_GB2312"/>
          <w:szCs w:val="24"/>
        </w:rPr>
        <w:t>注：1.本表各岗位相关的其他条件及要求请见本公告正文；2.报考者本人有效学位证和毕业证所载学位和学历及专业名称，须完全符合其所报岗位“学历或学位”和“专业条件要求”两栏的学历、专业条件要求相符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</w:rPr>
    </w:pPr>
    <w:r>
      <w:rPr>
        <w:rFonts w:hint="eastAsia" w:ascii="宋体" w:hAnsi="宋体"/>
        <w:sz w:val="28"/>
      </w:rPr>
      <w:t xml:space="preserve">―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21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―  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572F0"/>
    <w:rsid w:val="5AB5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仿宋_GB2312" w:cs="Times New Roman"/>
      <w:snapToGrid w:val="0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napToGrid/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napToGrid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2020-04-22T07:28:00Z</dcterms:created>
  <dc:creator>Administrator</dc:creator>
  <cp:lastModifiedBy>Administrator</cp:lastModifiedBy>
  <dcterms:modified xsi:type="dcterms:W3CDTF">2020-04-22T07:33:42Z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