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w w:val="95"/>
          <w:sz w:val="36"/>
          <w:szCs w:val="36"/>
        </w:rPr>
      </w:pPr>
      <w:r>
        <w:rPr>
          <w:rFonts w:hint="eastAsia" w:ascii="方正小标宋简体" w:hAnsi="方正小标宋简体" w:eastAsia="方正小标宋简体" w:cs="方正小标宋简体"/>
          <w:b/>
          <w:bCs/>
          <w:w w:val="95"/>
          <w:sz w:val="36"/>
          <w:szCs w:val="36"/>
        </w:rPr>
        <w:t>2020年广州市南沙区教育局联合华南师范大学公开招聘</w:t>
      </w:r>
      <w:r>
        <w:rPr>
          <w:rFonts w:hint="eastAsia" w:ascii="方正小标宋简体" w:hAnsi="方正小标宋简体" w:eastAsia="方正小标宋简体" w:cs="方正小标宋简体"/>
          <w:b/>
          <w:bCs/>
          <w:w w:val="95"/>
          <w:sz w:val="36"/>
          <w:szCs w:val="36"/>
          <w:lang w:eastAsia="zh-CN"/>
        </w:rPr>
        <w:t>事业编制</w:t>
      </w:r>
      <w:r>
        <w:rPr>
          <w:rFonts w:hint="eastAsia" w:ascii="方正小标宋简体" w:hAnsi="方正小标宋简体" w:eastAsia="方正小标宋简体" w:cs="方正小标宋简体"/>
          <w:b/>
          <w:bCs/>
          <w:w w:val="95"/>
          <w:sz w:val="36"/>
          <w:szCs w:val="36"/>
        </w:rPr>
        <w:t>中学教师实操技能测试实施方案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根据《2020年广州市南沙区教育局联合华南师范大学公开招聘事业编制中学教师工作方案》，制定本实施方案。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一、测试范围</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报考体育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美术岗位的人员。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二、测试时间与地点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（一）测试时间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 w:hAnsi="仿宋" w:eastAsia="仿宋" w:cs="宋体"/>
          <w:color w:val="auto"/>
          <w:kern w:val="0"/>
          <w:sz w:val="32"/>
          <w:szCs w:val="32"/>
        </w:rPr>
        <w:t>时间</w:t>
      </w:r>
      <w:r>
        <w:rPr>
          <w:rFonts w:hint="eastAsia" w:ascii="仿宋" w:hAnsi="仿宋" w:eastAsia="仿宋" w:cs="宋体"/>
          <w:color w:val="auto"/>
          <w:kern w:val="0"/>
          <w:sz w:val="32"/>
          <w:szCs w:val="32"/>
          <w:lang w:eastAsia="zh-CN"/>
        </w:rPr>
        <w:t>因疫情原因待定</w:t>
      </w:r>
      <w:r>
        <w:rPr>
          <w:rFonts w:hint="eastAsia" w:ascii="仿宋_GB2312" w:hAnsi="仿宋_GB2312" w:eastAsia="仿宋_GB2312" w:cs="仿宋_GB2312"/>
          <w:sz w:val="32"/>
          <w:szCs w:val="32"/>
        </w:rPr>
        <w:t>，具体时间以准考证为准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（二）测试地点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华南师范大学附属南沙中学。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测试形式与内容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岗位一：中学体育教师（篮球专项）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测试内容共有四项：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（一）助跑摸高：（15分）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测试办法：</w:t>
      </w:r>
      <w:r>
        <w:rPr>
          <w:rFonts w:hint="eastAsia" w:ascii="仿宋_GB2312" w:hAnsi="仿宋_GB2312" w:eastAsia="仿宋_GB2312" w:cs="仿宋_GB2312"/>
          <w:sz w:val="32"/>
          <w:szCs w:val="32"/>
        </w:rPr>
        <w:t>受试者助跑单脚（或双脚）起跳摸高，每人2次，计最好一次成绩。（</w:t>
      </w:r>
      <w:r>
        <w:rPr>
          <w:rFonts w:hint="eastAsia" w:ascii="仿宋_GB2312" w:hAnsi="仿宋_GB2312" w:eastAsia="仿宋_GB2312" w:cs="仿宋_GB2312"/>
          <w:b/>
          <w:sz w:val="32"/>
          <w:szCs w:val="32"/>
        </w:rPr>
        <w:t>成绩计算附后表</w:t>
      </w:r>
      <w:r>
        <w:rPr>
          <w:rFonts w:hint="eastAsia" w:ascii="仿宋_GB2312" w:hAnsi="仿宋_GB2312" w:eastAsia="仿宋_GB2312" w:cs="仿宋_GB2312"/>
          <w:sz w:val="32"/>
          <w:szCs w:val="32"/>
        </w:rPr>
        <w:t>）计分表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626"/>
        <w:gridCol w:w="1214"/>
        <w:gridCol w:w="1420"/>
        <w:gridCol w:w="1656"/>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22" w:type="dxa"/>
            <w:gridSpan w:val="6"/>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助跑摸高（米）15分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男</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1214"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女</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118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3.35</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3.34</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2.74</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3.33</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2.73</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3.32</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2.72</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3.31</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2.71</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3.30</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3.29</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2.69</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3.28</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2.68</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3.27</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2.67</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3.26</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2.66</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3.25</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3.24</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2.64</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3.23</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2.63</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3.22</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2.62</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3.21</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2.61</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2.55</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86"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3.05</w:t>
            </w:r>
          </w:p>
        </w:tc>
        <w:tc>
          <w:tcPr>
            <w:tcW w:w="162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14"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w:t>
            </w:r>
          </w:p>
        </w:tc>
        <w:tc>
          <w:tcPr>
            <w:tcW w:w="1656"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6" w:type="dxa"/>
          </w:tcPr>
          <w:p>
            <w:pPr>
              <w:jc w:val="center"/>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（二）往返运球上篮：（15分）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pict>
          <v:line id="_x0000_s1028" o:spid="_x0000_s1028" o:spt="20" style="position:absolute;left:0pt;flip:x y;margin-left:378pt;margin-top:46.8pt;height:148.2pt;width:90pt;z-index:251662336;mso-width-relative:page;mso-height-relative:page;" coordsize="21600,21600">
            <v:path arrowok="t"/>
            <v:fill focussize="0,0"/>
            <v:stroke startarrow="oval" endarrow="block"/>
            <v:imagedata o:title=""/>
            <o:lock v:ext="edit"/>
          </v:line>
        </w:pict>
      </w:r>
      <w:r>
        <w:rPr>
          <w:rFonts w:hint="eastAsia" w:ascii="仿宋_GB2312" w:hAnsi="仿宋_GB2312" w:eastAsia="仿宋_GB2312" w:cs="仿宋_GB2312"/>
          <w:sz w:val="32"/>
          <w:szCs w:val="32"/>
        </w:rPr>
        <w:pict>
          <v:line id="_x0000_s1027" o:spid="_x0000_s1027" o:spt="20" style="position:absolute;left:0pt;flip:y;margin-left:270pt;margin-top:46.8pt;height:148.2pt;width:90pt;z-index:251661312;mso-width-relative:page;mso-height-relative:page;" coordsize="21600,21600">
            <v:path arrowok="t"/>
            <v:fill focussize="0,0"/>
            <v:stroke startarrow="oval" endarrow="block"/>
            <v:imagedata o:title=""/>
            <o:lock v:ext="edit"/>
          </v:line>
        </w:pict>
      </w:r>
      <w:r>
        <w:rPr>
          <w:rFonts w:hint="eastAsia" w:ascii="仿宋_GB2312" w:hAnsi="仿宋_GB2312" w:eastAsia="仿宋_GB2312" w:cs="仿宋_GB2312"/>
          <w:sz w:val="32"/>
          <w:szCs w:val="32"/>
        </w:rPr>
        <w:pict>
          <v:shape id="_x0000_s1026" o:spid="_x0000_s1026" o:spt="202" type="#_x0000_t202" style="position:absolute;left:0pt;margin-left:261pt;margin-top:7.8pt;height:195.15pt;width:214.45pt;mso-wrap-distance-bottom:0pt;mso-wrap-distance-left:9pt;mso-wrap-distance-right:9pt;mso-wrap-distance-top:0pt;mso-wrap-style:none;z-index:251660288;mso-width-relative:page;mso-height-relative:page;" coordsize="21600,21600">
            <v:path/>
            <v:fill focussize="0,0"/>
            <v:stroke joinstyle="miter"/>
            <v:imagedata o:title=""/>
            <o:lock v:ext="edit"/>
            <v:textbox style="mso-fit-shape-to-text:t;">
              <w:txbxContent>
                <w:p>
                  <w:r>
                    <w:rPr>
                      <w:rFonts w:hint="eastAsia"/>
                    </w:rPr>
                    <w:drawing>
                      <wp:inline distT="0" distB="0" distL="0" distR="0">
                        <wp:extent cx="2533650" cy="2374900"/>
                        <wp:effectExtent l="0" t="0" r="0" b="6350"/>
                        <wp:docPr id="1" name="图片 1" descr="半场灰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半场灰度2"/>
                                <pic:cNvPicPr>
                                  <a:picLocks noChangeAspect="1" noChangeArrowheads="1"/>
                                </pic:cNvPicPr>
                              </pic:nvPicPr>
                              <pic:blipFill>
                                <a:blip r:embed="rId5"/>
                                <a:srcRect/>
                                <a:stretch>
                                  <a:fillRect/>
                                </a:stretch>
                              </pic:blipFill>
                              <pic:spPr>
                                <a:xfrm>
                                  <a:off x="0" y="0"/>
                                  <a:ext cx="2533650" cy="2374900"/>
                                </a:xfrm>
                                <a:prstGeom prst="rect">
                                  <a:avLst/>
                                </a:prstGeom>
                                <a:noFill/>
                                <a:ln w="9525">
                                  <a:noFill/>
                                  <a:miter lim="800000"/>
                                  <a:headEnd/>
                                  <a:tailEnd/>
                                </a:ln>
                              </pic:spPr>
                            </pic:pic>
                          </a:graphicData>
                        </a:graphic>
                      </wp:inline>
                    </w:drawing>
                  </w:r>
                </w:p>
              </w:txbxContent>
            </v:textbox>
            <w10:wrap type="square"/>
          </v:shape>
        </w:pict>
      </w:r>
      <w:r>
        <w:rPr>
          <w:rFonts w:hint="eastAsia" w:ascii="仿宋_GB2312" w:hAnsi="仿宋_GB2312" w:eastAsia="仿宋_GB2312" w:cs="仿宋_GB2312"/>
          <w:b/>
          <w:sz w:val="32"/>
          <w:szCs w:val="32"/>
        </w:rPr>
        <w:pict>
          <v:shape id="_x0000_s1029" o:spid="_x0000_s1029" o:spt="202" type="#_x0000_t202" style="position:absolute;left:0pt;margin-left:234pt;margin-top:187.2pt;height:31.2pt;width:18pt;z-index:251663360;mso-width-relative:page;mso-height-relative:page;" stroked="t" coordsize="21600,21600">
            <v:path/>
            <v:fill focussize="0,0"/>
            <v:stroke color="#FFFFFF" dashstyle="1 1" endcap="round"/>
            <v:imagedata o:title=""/>
            <o:lock v:ext="edit"/>
            <v:textbox>
              <w:txbxContent>
                <w:p>
                  <w:pPr>
                    <w:rPr>
                      <w:b/>
                      <w:sz w:val="28"/>
                      <w:szCs w:val="28"/>
                    </w:rPr>
                  </w:pPr>
                  <w:r>
                    <w:rPr>
                      <w:b/>
                      <w:sz w:val="28"/>
                      <w:szCs w:val="28"/>
                    </w:rPr>
                    <w:t>B</w:t>
                  </w:r>
                </w:p>
              </w:txbxContent>
            </v:textbox>
          </v:shape>
        </w:pict>
      </w:r>
      <w:r>
        <w:rPr>
          <w:rFonts w:hint="eastAsia" w:ascii="仿宋_GB2312" w:hAnsi="仿宋_GB2312" w:eastAsia="仿宋_GB2312" w:cs="仿宋_GB2312"/>
          <w:b/>
          <w:sz w:val="32"/>
          <w:szCs w:val="32"/>
        </w:rPr>
        <w:pict>
          <v:shape id="_x0000_s1030" o:spid="_x0000_s1030" o:spt="202" type="#_x0000_t202" style="position:absolute;left:0pt;margin-left:477pt;margin-top:187.2pt;height:31.2pt;width:18.05pt;z-index:251664384;mso-width-relative:page;mso-height-relative:page;" stroked="t" coordsize="21600,21600">
            <v:path/>
            <v:fill focussize="0,0"/>
            <v:stroke color="#FFFFFF" joinstyle="miter"/>
            <v:imagedata o:title=""/>
            <o:lock v:ext="edit"/>
            <v:textbox>
              <w:txbxContent>
                <w:p>
                  <w:pPr>
                    <w:rPr>
                      <w:sz w:val="28"/>
                      <w:szCs w:val="28"/>
                    </w:rPr>
                  </w:pPr>
                  <w:r>
                    <w:rPr>
                      <w:rFonts w:hint="eastAsia"/>
                      <w:sz w:val="28"/>
                      <w:szCs w:val="28"/>
                    </w:rPr>
                    <w:t>A</w:t>
                  </w:r>
                </w:p>
                <w:p>
                  <w:pPr>
                    <w:rPr>
                      <w:b/>
                      <w:sz w:val="24"/>
                    </w:rPr>
                  </w:pPr>
                  <w:r>
                    <w:rPr>
                      <w:rFonts w:hint="eastAsia"/>
                      <w:b/>
                      <w:sz w:val="24"/>
                    </w:rPr>
                    <w:t>B</w:t>
                  </w:r>
                </w:p>
              </w:txbxContent>
            </v:textbox>
          </v:shape>
        </w:pict>
      </w:r>
      <w:r>
        <w:rPr>
          <w:rFonts w:hint="eastAsia" w:ascii="仿宋_GB2312" w:hAnsi="仿宋_GB2312" w:eastAsia="仿宋_GB2312" w:cs="仿宋_GB2312"/>
          <w:b/>
          <w:sz w:val="32"/>
          <w:szCs w:val="32"/>
        </w:rPr>
        <w:t xml:space="preserve">测试办法：  </w:t>
      </w:r>
      <w:r>
        <w:rPr>
          <w:rFonts w:hint="eastAsia" w:ascii="仿宋_GB2312" w:hAnsi="仿宋_GB2312" w:eastAsia="仿宋_GB2312" w:cs="仿宋_GB2312"/>
          <w:sz w:val="32"/>
          <w:szCs w:val="32"/>
        </w:rPr>
        <w:t>受试者由球场右侧边线中点处A开始运球，同时计时开始，面向球篮以右手运球上篮（左右手上篮均可）。球投中篮后，仍以右手运球至左侧边线中点B处，然后折转（不能双手持球转身），换左手运球上篮（左右手上篮均可）。投球中篮后，仍以左手运球回到原起点A处，往返两趟进四球，停表。（</w:t>
      </w:r>
      <w:r>
        <w:rPr>
          <w:rFonts w:hint="eastAsia" w:ascii="仿宋_GB2312" w:hAnsi="仿宋_GB2312" w:eastAsia="仿宋_GB2312" w:cs="仿宋_GB2312"/>
          <w:b/>
          <w:sz w:val="32"/>
          <w:szCs w:val="32"/>
        </w:rPr>
        <w:t>成绩计算附后表</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往返运球上篮（秒）计分表20分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男</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女</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20.5</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30.5</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21.5</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22.5</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32.5</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23.5</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33.5</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25.5</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35.5</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36.5</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28.5</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38.5</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421" w:type="dxa"/>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20" w:type="dxa"/>
          </w:tcPr>
          <w:p>
            <w:pPr>
              <w:jc w:val="center"/>
              <w:rPr>
                <w:rFonts w:hint="eastAsia" w:ascii="仿宋_GB2312" w:hAnsi="仿宋_GB2312" w:eastAsia="仿宋_GB2312" w:cs="仿宋_GB2312"/>
                <w:sz w:val="24"/>
                <w:szCs w:val="24"/>
              </w:rPr>
            </w:pPr>
          </w:p>
        </w:tc>
        <w:tc>
          <w:tcPr>
            <w:tcW w:w="1420"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1421"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21" w:type="dxa"/>
          </w:tcPr>
          <w:p>
            <w:pPr>
              <w:jc w:val="center"/>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（三）投篮：（20分）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测试办法：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0" distR="0" simplePos="0" relativeHeight="251669504" behindDoc="0" locked="0" layoutInCell="1" allowOverlap="1">
            <wp:simplePos x="0" y="0"/>
            <wp:positionH relativeFrom="column">
              <wp:posOffset>2981960</wp:posOffset>
            </wp:positionH>
            <wp:positionV relativeFrom="paragraph">
              <wp:posOffset>441960</wp:posOffset>
            </wp:positionV>
            <wp:extent cx="2514600" cy="2495550"/>
            <wp:effectExtent l="0" t="0" r="0" b="0"/>
            <wp:wrapSquare wrapText="bothSides"/>
            <wp:docPr id="4" name="图片 4" descr="半场灰度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半场灰度3"/>
                    <pic:cNvPicPr>
                      <a:picLocks noChangeAspect="1" noChangeArrowheads="1"/>
                    </pic:cNvPicPr>
                  </pic:nvPicPr>
                  <pic:blipFill>
                    <a:blip r:embed="rId6"/>
                    <a:srcRect/>
                    <a:stretch>
                      <a:fillRect/>
                    </a:stretch>
                  </pic:blipFill>
                  <pic:spPr>
                    <a:xfrm>
                      <a:off x="0" y="0"/>
                      <a:ext cx="2514600" cy="2495550"/>
                    </a:xfrm>
                    <a:prstGeom prst="rect">
                      <a:avLst/>
                    </a:prstGeom>
                    <a:noFill/>
                    <a:ln w="9525">
                      <a:noFill/>
                      <a:miter lim="800000"/>
                      <a:headEnd/>
                      <a:tailEnd/>
                    </a:ln>
                  </pic:spPr>
                </pic:pic>
              </a:graphicData>
            </a:graphic>
          </wp:anchor>
        </w:drawing>
      </w:r>
      <w:r>
        <w:rPr>
          <w:rFonts w:hint="eastAsia" w:ascii="仿宋_GB2312" w:hAnsi="仿宋_GB2312" w:eastAsia="仿宋_GB2312" w:cs="仿宋_GB2312"/>
          <w:b/>
          <w:sz w:val="32"/>
          <w:szCs w:val="32"/>
        </w:rPr>
        <w:t>要求：</w:t>
      </w:r>
      <w:r>
        <w:rPr>
          <w:rFonts w:hint="eastAsia" w:ascii="仿宋_GB2312" w:hAnsi="仿宋_GB2312" w:eastAsia="仿宋_GB2312" w:cs="仿宋_GB2312"/>
          <w:sz w:val="32"/>
          <w:szCs w:val="32"/>
        </w:rPr>
        <w:t>受试者队员必须跳投，跳投时双脚须离地，向上跳起后球方能出手。内线队员两分测试，外线队员三分测试。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成绩要求：</w:t>
      </w:r>
      <w:r>
        <w:rPr>
          <w:rFonts w:hint="eastAsia" w:ascii="仿宋_GB2312" w:hAnsi="仿宋_GB2312" w:eastAsia="仿宋_GB2312" w:cs="仿宋_GB2312"/>
          <w:kern w:val="0"/>
          <w:sz w:val="32"/>
          <w:szCs w:val="32"/>
        </w:rPr>
        <w:t>外线队员：三分投篮，一分钟自投自抢，投篮点不限。内线队员：5米范围投篮，一分钟自投自抢，投篮点不限。</w:t>
      </w:r>
    </w:p>
    <w:p>
      <w:pPr>
        <w:widowControl/>
        <w:wordWrap w:val="0"/>
        <w:spacing w:line="360" w:lineRule="auto"/>
        <w:ind w:firstLine="651"/>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评分方法：</w:t>
      </w:r>
    </w:p>
    <w:p>
      <w:pPr>
        <w:widowControl/>
        <w:wordWrap w:val="0"/>
        <w:spacing w:line="360" w:lineRule="auto"/>
        <w:ind w:firstLine="651"/>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（1）投中得分：外线队员投中一球得两分，投中5球为满分。内线队员投中一球得一分，投中10球为满分。</w:t>
      </w:r>
      <w:r>
        <w:rPr>
          <w:rFonts w:hint="eastAsia" w:ascii="仿宋_GB2312" w:hAnsi="仿宋_GB2312" w:eastAsia="仿宋_GB2312" w:cs="仿宋_GB2312"/>
          <w:color w:val="FFFFFF"/>
          <w:sz w:val="32"/>
          <w:szCs w:val="32"/>
        </w:rPr>
        <w:t>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（2）技术评分：重点是投篮手法，身体平衡，移动速度，脚步技术动作。</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（四）比赛：（50分）</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采用综合评分办法。按队员报名时的位置进行分组：三或五人一组（视人数而定），进行比赛，每组比赛用时10分钟  按中锋、前锋、后卫三个不同位置各自的任务和应起的作用作为考核重点，以受试者所掌握的技术规格程度，技术运用效果，战术配合意识，实战能力和比赛作风等方面，进行综合评分。</w:t>
      </w:r>
    </w:p>
    <w:p>
      <w:pPr>
        <w:widowControl/>
        <w:wordWrap w:val="0"/>
        <w:spacing w:line="400" w:lineRule="exact"/>
        <w:rPr>
          <w:rFonts w:hint="eastAsia" w:ascii="宋体" w:hAnsi="宋体" w:cs="宋体"/>
          <w:kern w:val="0"/>
          <w:sz w:val="32"/>
          <w:szCs w:val="32"/>
        </w:rPr>
      </w:pPr>
    </w:p>
    <w:tbl>
      <w:tblPr>
        <w:tblStyle w:val="5"/>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5814"/>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Align w:val="center"/>
          </w:tcPr>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位置</w:t>
            </w:r>
          </w:p>
        </w:tc>
        <w:tc>
          <w:tcPr>
            <w:tcW w:w="5814" w:type="dxa"/>
            <w:vAlign w:val="center"/>
          </w:tcPr>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任务和作用</w:t>
            </w:r>
          </w:p>
        </w:tc>
        <w:tc>
          <w:tcPr>
            <w:tcW w:w="825" w:type="dxa"/>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Merge w:val="restart"/>
            <w:vAlign w:val="center"/>
          </w:tcPr>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中</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锋</w:t>
            </w:r>
          </w:p>
        </w:tc>
        <w:tc>
          <w:tcPr>
            <w:tcW w:w="5814" w:type="dxa"/>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a.封盖、盖帽、内线强攻得分能力；</w:t>
            </w:r>
          </w:p>
        </w:tc>
        <w:tc>
          <w:tcPr>
            <w:tcW w:w="82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Merge w:val="continue"/>
            <w:vAlign w:val="center"/>
          </w:tcPr>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w:t>
            </w:r>
          </w:p>
        </w:tc>
        <w:tc>
          <w:tcPr>
            <w:tcW w:w="5814" w:type="dxa"/>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b.进攻篮板球，补篮；</w:t>
            </w:r>
          </w:p>
        </w:tc>
        <w:tc>
          <w:tcPr>
            <w:tcW w:w="82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Merge w:val="continue"/>
            <w:vAlign w:val="center"/>
          </w:tcPr>
          <w:p>
            <w:pPr>
              <w:spacing w:line="360" w:lineRule="auto"/>
              <w:jc w:val="center"/>
              <w:rPr>
                <w:rFonts w:hint="eastAsia" w:ascii="仿宋_GB2312" w:hAnsi="仿宋_GB2312" w:eastAsia="仿宋_GB2312" w:cs="仿宋_GB2312"/>
                <w:b/>
                <w:sz w:val="24"/>
                <w:szCs w:val="24"/>
              </w:rPr>
            </w:pPr>
          </w:p>
        </w:tc>
        <w:tc>
          <w:tcPr>
            <w:tcW w:w="5814" w:type="dxa"/>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c.抢断球，防守篮板球；</w:t>
            </w:r>
          </w:p>
        </w:tc>
        <w:tc>
          <w:tcPr>
            <w:tcW w:w="82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Merge w:val="continue"/>
            <w:vAlign w:val="center"/>
          </w:tcPr>
          <w:p>
            <w:pPr>
              <w:spacing w:line="360" w:lineRule="auto"/>
              <w:jc w:val="center"/>
              <w:rPr>
                <w:rFonts w:hint="eastAsia" w:ascii="仿宋_GB2312" w:hAnsi="仿宋_GB2312" w:eastAsia="仿宋_GB2312" w:cs="仿宋_GB2312"/>
                <w:b/>
                <w:sz w:val="24"/>
                <w:szCs w:val="24"/>
              </w:rPr>
            </w:pPr>
          </w:p>
        </w:tc>
        <w:tc>
          <w:tcPr>
            <w:tcW w:w="5814" w:type="dxa"/>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d.策应、补位、防守和协防能力。</w:t>
            </w:r>
          </w:p>
        </w:tc>
        <w:tc>
          <w:tcPr>
            <w:tcW w:w="82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Merge w:val="restart"/>
            <w:vAlign w:val="center"/>
          </w:tcPr>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前</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锋</w:t>
            </w:r>
          </w:p>
        </w:tc>
        <w:tc>
          <w:tcPr>
            <w:tcW w:w="5814" w:type="dxa"/>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a.传中、突破、个人进攻得分和中、远投得分能力；</w:t>
            </w:r>
          </w:p>
        </w:tc>
        <w:tc>
          <w:tcPr>
            <w:tcW w:w="82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Merge w:val="continue"/>
            <w:vAlign w:val="center"/>
          </w:tcPr>
          <w:p>
            <w:pPr>
              <w:spacing w:line="360" w:lineRule="auto"/>
              <w:jc w:val="center"/>
              <w:rPr>
                <w:rFonts w:hint="eastAsia" w:ascii="仿宋_GB2312" w:hAnsi="仿宋_GB2312" w:eastAsia="仿宋_GB2312" w:cs="仿宋_GB2312"/>
                <w:b/>
                <w:sz w:val="24"/>
                <w:szCs w:val="24"/>
              </w:rPr>
            </w:pPr>
          </w:p>
        </w:tc>
        <w:tc>
          <w:tcPr>
            <w:tcW w:w="5814" w:type="dxa"/>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b.封投、补位、个人防守和协防能力；</w:t>
            </w:r>
          </w:p>
        </w:tc>
        <w:tc>
          <w:tcPr>
            <w:tcW w:w="82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Merge w:val="continue"/>
            <w:vAlign w:val="center"/>
          </w:tcPr>
          <w:p>
            <w:pPr>
              <w:spacing w:line="360" w:lineRule="auto"/>
              <w:jc w:val="center"/>
              <w:rPr>
                <w:rFonts w:hint="eastAsia" w:ascii="仿宋_GB2312" w:hAnsi="仿宋_GB2312" w:eastAsia="仿宋_GB2312" w:cs="仿宋_GB2312"/>
                <w:b/>
                <w:sz w:val="24"/>
                <w:szCs w:val="24"/>
              </w:rPr>
            </w:pPr>
          </w:p>
        </w:tc>
        <w:tc>
          <w:tcPr>
            <w:tcW w:w="5814" w:type="dxa"/>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c.快攻意识和助攻能力；</w:t>
            </w:r>
          </w:p>
        </w:tc>
        <w:tc>
          <w:tcPr>
            <w:tcW w:w="82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Merge w:val="continue"/>
            <w:vAlign w:val="center"/>
          </w:tcPr>
          <w:p>
            <w:pPr>
              <w:spacing w:line="360" w:lineRule="auto"/>
              <w:jc w:val="center"/>
              <w:rPr>
                <w:rFonts w:hint="eastAsia"/>
                <w:b/>
                <w:sz w:val="24"/>
                <w:szCs w:val="24"/>
              </w:rPr>
            </w:pPr>
          </w:p>
        </w:tc>
        <w:tc>
          <w:tcPr>
            <w:tcW w:w="5814" w:type="dxa"/>
          </w:tcPr>
          <w:p>
            <w:pPr>
              <w:spacing w:line="360" w:lineRule="auto"/>
              <w:rPr>
                <w:rFonts w:hint="eastAsia"/>
                <w:sz w:val="24"/>
                <w:szCs w:val="24"/>
              </w:rPr>
            </w:pPr>
            <w:r>
              <w:rPr>
                <w:rFonts w:hint="eastAsia"/>
                <w:sz w:val="24"/>
                <w:szCs w:val="24"/>
              </w:rPr>
              <w:t>d.抢断球、篮板球。</w:t>
            </w:r>
          </w:p>
        </w:tc>
        <w:tc>
          <w:tcPr>
            <w:tcW w:w="825" w:type="dxa"/>
            <w:vAlign w:val="center"/>
          </w:tcPr>
          <w:p>
            <w:pPr>
              <w:jc w:val="center"/>
              <w:rPr>
                <w:rFonts w:hint="eastAsia"/>
                <w:sz w:val="24"/>
                <w:szCs w:val="24"/>
              </w:rPr>
            </w:pPr>
            <w:r>
              <w:rPr>
                <w:rFonts w:hint="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Merge w:val="restart"/>
            <w:vAlign w:val="center"/>
          </w:tcPr>
          <w:p>
            <w:pPr>
              <w:spacing w:line="360" w:lineRule="auto"/>
              <w:jc w:val="center"/>
              <w:rPr>
                <w:rFonts w:hint="eastAsia"/>
                <w:b/>
                <w:sz w:val="24"/>
                <w:szCs w:val="24"/>
              </w:rPr>
            </w:pPr>
            <w:r>
              <w:rPr>
                <w:rFonts w:hint="eastAsia"/>
                <w:b/>
                <w:sz w:val="24"/>
                <w:szCs w:val="24"/>
              </w:rPr>
              <w:t>后</w:t>
            </w:r>
          </w:p>
          <w:p>
            <w:pPr>
              <w:spacing w:line="360" w:lineRule="auto"/>
              <w:jc w:val="center"/>
              <w:rPr>
                <w:rFonts w:hint="eastAsia"/>
                <w:b/>
                <w:sz w:val="24"/>
                <w:szCs w:val="24"/>
              </w:rPr>
            </w:pPr>
            <w:r>
              <w:rPr>
                <w:rFonts w:hint="eastAsia"/>
                <w:b/>
                <w:sz w:val="24"/>
                <w:szCs w:val="24"/>
              </w:rPr>
              <w:t>卫</w:t>
            </w:r>
          </w:p>
        </w:tc>
        <w:tc>
          <w:tcPr>
            <w:tcW w:w="5814" w:type="dxa"/>
          </w:tcPr>
          <w:p>
            <w:pPr>
              <w:spacing w:line="360" w:lineRule="auto"/>
              <w:rPr>
                <w:rFonts w:hint="eastAsia"/>
                <w:sz w:val="24"/>
                <w:szCs w:val="24"/>
              </w:rPr>
            </w:pPr>
            <w:r>
              <w:rPr>
                <w:rFonts w:hint="eastAsia"/>
                <w:sz w:val="24"/>
                <w:szCs w:val="24"/>
              </w:rPr>
              <w:t>a.控球、妙传、突破、中、远投得分能力和进攻组织能力；</w:t>
            </w:r>
          </w:p>
        </w:tc>
        <w:tc>
          <w:tcPr>
            <w:tcW w:w="825" w:type="dxa"/>
            <w:vAlign w:val="center"/>
          </w:tcPr>
          <w:p>
            <w:pPr>
              <w:jc w:val="center"/>
              <w:rPr>
                <w:rFonts w:hint="eastAsia"/>
                <w:sz w:val="24"/>
                <w:szCs w:val="24"/>
              </w:rPr>
            </w:pPr>
            <w:r>
              <w:rPr>
                <w:rFonts w:hint="eastAsia"/>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Merge w:val="continue"/>
          </w:tcPr>
          <w:p>
            <w:pPr>
              <w:spacing w:line="360" w:lineRule="auto"/>
              <w:rPr>
                <w:rFonts w:hint="eastAsia"/>
                <w:sz w:val="24"/>
                <w:szCs w:val="24"/>
              </w:rPr>
            </w:pPr>
          </w:p>
        </w:tc>
        <w:tc>
          <w:tcPr>
            <w:tcW w:w="5814" w:type="dxa"/>
          </w:tcPr>
          <w:p>
            <w:pPr>
              <w:spacing w:line="360" w:lineRule="auto"/>
              <w:rPr>
                <w:rFonts w:hint="eastAsia"/>
                <w:sz w:val="24"/>
                <w:szCs w:val="24"/>
              </w:rPr>
            </w:pPr>
            <w:r>
              <w:rPr>
                <w:rFonts w:hint="eastAsia"/>
                <w:sz w:val="24"/>
                <w:szCs w:val="24"/>
              </w:rPr>
              <w:t>b.抢断、补位能力；</w:t>
            </w:r>
          </w:p>
        </w:tc>
        <w:tc>
          <w:tcPr>
            <w:tcW w:w="825" w:type="dxa"/>
            <w:vAlign w:val="center"/>
          </w:tcPr>
          <w:p>
            <w:pPr>
              <w:jc w:val="center"/>
              <w:rPr>
                <w:rFonts w:hint="eastAsia"/>
                <w:sz w:val="24"/>
                <w:szCs w:val="24"/>
              </w:rPr>
            </w:pPr>
            <w:r>
              <w:rPr>
                <w:rFonts w:hint="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Merge w:val="continue"/>
          </w:tcPr>
          <w:p>
            <w:pPr>
              <w:spacing w:line="360" w:lineRule="auto"/>
              <w:rPr>
                <w:rFonts w:hint="eastAsia"/>
                <w:sz w:val="24"/>
                <w:szCs w:val="24"/>
              </w:rPr>
            </w:pPr>
          </w:p>
        </w:tc>
        <w:tc>
          <w:tcPr>
            <w:tcW w:w="5814" w:type="dxa"/>
          </w:tcPr>
          <w:p>
            <w:pPr>
              <w:spacing w:line="360" w:lineRule="auto"/>
              <w:rPr>
                <w:rFonts w:hint="eastAsia"/>
                <w:sz w:val="24"/>
                <w:szCs w:val="24"/>
              </w:rPr>
            </w:pPr>
            <w:r>
              <w:rPr>
                <w:rFonts w:hint="eastAsia"/>
                <w:sz w:val="24"/>
                <w:szCs w:val="24"/>
              </w:rPr>
              <w:t>c.防守组织能力和协防能力，</w:t>
            </w:r>
          </w:p>
        </w:tc>
        <w:tc>
          <w:tcPr>
            <w:tcW w:w="825" w:type="dxa"/>
            <w:vAlign w:val="center"/>
          </w:tcPr>
          <w:p>
            <w:pPr>
              <w:jc w:val="center"/>
              <w:rPr>
                <w:rFonts w:hint="eastAsia"/>
                <w:sz w:val="24"/>
                <w:szCs w:val="24"/>
              </w:rPr>
            </w:pPr>
            <w:r>
              <w:rPr>
                <w:rFonts w:hint="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Merge w:val="continue"/>
          </w:tcPr>
          <w:p>
            <w:pPr>
              <w:spacing w:line="360" w:lineRule="auto"/>
              <w:rPr>
                <w:rFonts w:hint="eastAsia"/>
                <w:sz w:val="24"/>
                <w:szCs w:val="24"/>
              </w:rPr>
            </w:pPr>
          </w:p>
        </w:tc>
        <w:tc>
          <w:tcPr>
            <w:tcW w:w="5814" w:type="dxa"/>
          </w:tcPr>
          <w:p>
            <w:pPr>
              <w:spacing w:line="360" w:lineRule="auto"/>
              <w:rPr>
                <w:rFonts w:hint="eastAsia"/>
                <w:sz w:val="24"/>
                <w:szCs w:val="24"/>
              </w:rPr>
            </w:pPr>
            <w:r>
              <w:rPr>
                <w:rFonts w:hint="eastAsia"/>
                <w:sz w:val="24"/>
                <w:szCs w:val="24"/>
              </w:rPr>
              <w:t>d.快攻意识和篮板球。</w:t>
            </w:r>
          </w:p>
        </w:tc>
        <w:tc>
          <w:tcPr>
            <w:tcW w:w="825" w:type="dxa"/>
            <w:vAlign w:val="center"/>
          </w:tcPr>
          <w:p>
            <w:pPr>
              <w:jc w:val="center"/>
              <w:rPr>
                <w:rFonts w:hint="eastAsia"/>
                <w:sz w:val="24"/>
                <w:szCs w:val="24"/>
              </w:rPr>
            </w:pPr>
            <w:r>
              <w:rPr>
                <w:rFonts w:hint="eastAsia"/>
                <w:sz w:val="24"/>
                <w:szCs w:val="24"/>
              </w:rPr>
              <w:t>10</w:t>
            </w: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none"/>
        </w:rPr>
        <w:t>岗位二：中学体育教师（网球专项）</w:t>
      </w:r>
      <w:r>
        <w:rPr>
          <w:rFonts w:hint="eastAsia" w:ascii="黑体" w:hAnsi="黑体" w:eastAsia="黑体" w:cs="黑体"/>
          <w:color w:val="FFFFFF"/>
          <w:sz w:val="32"/>
          <w:szCs w:val="32"/>
          <w:highlight w:val="none"/>
        </w:rPr>
        <w:t>傈墅</w:t>
      </w:r>
      <w:r>
        <w:rPr>
          <w:color w:val="FFFFFF"/>
          <w:sz w:val="32"/>
          <w:szCs w:val="32"/>
        </w:rPr>
        <w:t>臃捌堤厅诵椿</w:t>
      </w:r>
    </w:p>
    <w:p>
      <w:pPr>
        <w:keepNext w:val="0"/>
        <w:keepLines w:val="0"/>
        <w:pageBreakBefore w:val="0"/>
        <w:widowControl/>
        <w:kinsoku/>
        <w:wordWrap/>
        <w:overflowPunct/>
        <w:topLinePunct w:val="0"/>
        <w:autoSpaceDE/>
        <w:autoSpaceDN/>
        <w:bidi w:val="0"/>
        <w:adjustRightInd/>
        <w:snapToGrid/>
        <w:spacing w:line="360" w:lineRule="auto"/>
        <w:ind w:firstLine="728" w:firstLineChars="200"/>
        <w:jc w:val="left"/>
        <w:textAlignment w:val="auto"/>
        <w:rPr>
          <w:rFonts w:hint="eastAsia" w:ascii="仿宋_GB2312" w:hAnsi="仿宋_GB2312" w:eastAsia="仿宋_GB2312" w:cs="仿宋_GB2312"/>
          <w:bCs/>
          <w:kern w:val="0"/>
          <w:sz w:val="32"/>
          <w:szCs w:val="32"/>
        </w:rPr>
      </w:pPr>
      <w:r>
        <w:rPr>
          <w:rFonts w:hint="eastAsia" w:ascii="黑体" w:hAnsi="黑体" w:eastAsia="黑体" w:cs="黑体"/>
          <w:bCs/>
          <w:spacing w:val="22"/>
          <w:kern w:val="0"/>
          <w:sz w:val="32"/>
          <w:szCs w:val="32"/>
          <w:lang w:eastAsia="zh-CN"/>
        </w:rPr>
        <w:t>一</w:t>
      </w:r>
      <w:r>
        <w:rPr>
          <w:rFonts w:hint="eastAsia" w:ascii="黑体" w:hAnsi="黑体" w:eastAsia="黑体" w:cs="黑体"/>
          <w:bCs/>
          <w:kern w:val="0"/>
          <w:sz w:val="32"/>
          <w:szCs w:val="32"/>
        </w:rPr>
        <w:t>、测试指标</w:t>
      </w:r>
      <w:r>
        <w:rPr>
          <w:rFonts w:hint="eastAsia" w:ascii="仿宋_GB2312" w:hAnsi="仿宋_GB2312" w:eastAsia="仿宋_GB2312" w:cs="仿宋_GB2312"/>
          <w:color w:val="FFFFFF"/>
          <w:sz w:val="32"/>
          <w:szCs w:val="32"/>
        </w:rPr>
        <w:t>北</w:t>
      </w:r>
    </w:p>
    <w:tbl>
      <w:tblPr>
        <w:tblStyle w:val="5"/>
        <w:tblW w:w="49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2015"/>
        <w:gridCol w:w="2501"/>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类 别</w:t>
            </w:r>
          </w:p>
        </w:tc>
        <w:tc>
          <w:tcPr>
            <w:tcW w:w="1201"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身体素质</w:t>
            </w:r>
          </w:p>
        </w:tc>
        <w:tc>
          <w:tcPr>
            <w:tcW w:w="1491"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基本技术</w:t>
            </w:r>
          </w:p>
        </w:tc>
        <w:tc>
          <w:tcPr>
            <w:tcW w:w="1609"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实战能力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9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指标</w:t>
            </w:r>
          </w:p>
        </w:tc>
        <w:tc>
          <w:tcPr>
            <w:tcW w:w="1201" w:type="pct"/>
            <w:vMerge w:val="restart"/>
            <w:tcBorders>
              <w:top w:val="single" w:color="auto" w:sz="4" w:space="0"/>
              <w:left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半场往返跑</w:t>
            </w:r>
          </w:p>
        </w:tc>
        <w:tc>
          <w:tcPr>
            <w:tcW w:w="1491"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正、反手底线、发球</w:t>
            </w:r>
          </w:p>
        </w:tc>
        <w:tc>
          <w:tcPr>
            <w:tcW w:w="1609"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比赛成绩×2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1201" w:type="pct"/>
            <w:vMerge w:val="continue"/>
            <w:tcBorders>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kern w:val="0"/>
                <w:sz w:val="24"/>
                <w:szCs w:val="24"/>
              </w:rPr>
            </w:pPr>
          </w:p>
        </w:tc>
        <w:tc>
          <w:tcPr>
            <w:tcW w:w="1491"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技评</w:t>
            </w:r>
          </w:p>
        </w:tc>
        <w:tc>
          <w:tcPr>
            <w:tcW w:w="1609"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战术意识及打法特点</w:t>
            </w:r>
          </w:p>
        </w:tc>
      </w:tr>
    </w:tbl>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B、测试方法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drawing>
          <wp:anchor distT="0" distB="0" distL="114300" distR="114300" simplePos="0" relativeHeight="251668480" behindDoc="0" locked="0" layoutInCell="1" allowOverlap="0">
            <wp:simplePos x="0" y="0"/>
            <wp:positionH relativeFrom="column">
              <wp:posOffset>2482850</wp:posOffset>
            </wp:positionH>
            <wp:positionV relativeFrom="paragraph">
              <wp:posOffset>321310</wp:posOffset>
            </wp:positionV>
            <wp:extent cx="3038475" cy="4439285"/>
            <wp:effectExtent l="0" t="0" r="9525" b="18415"/>
            <wp:wrapSquare wrapText="bothSides"/>
            <wp:docPr id="10" name="图片 10" descr="网球场地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网球场地平面图"/>
                    <pic:cNvPicPr>
                      <a:picLocks noChangeAspect="1" noChangeArrowheads="1"/>
                    </pic:cNvPicPr>
                  </pic:nvPicPr>
                  <pic:blipFill>
                    <a:blip r:embed="rId7" cstate="print"/>
                    <a:srcRect/>
                    <a:stretch>
                      <a:fillRect/>
                    </a:stretch>
                  </pic:blipFill>
                  <pic:spPr>
                    <a:xfrm>
                      <a:off x="0" y="0"/>
                      <a:ext cx="3038475" cy="4439285"/>
                    </a:xfrm>
                    <a:prstGeom prst="rect">
                      <a:avLst/>
                    </a:prstGeom>
                    <a:noFill/>
                  </pic:spPr>
                </pic:pic>
              </a:graphicData>
            </a:graphic>
          </wp:anchor>
        </w:drawing>
      </w:r>
      <w:r>
        <w:rPr>
          <w:rFonts w:hint="eastAsia" w:ascii="楷体_GB2312" w:hAnsi="楷体_GB2312" w:eastAsia="楷体_GB2312" w:cs="楷体_GB2312"/>
          <w:b/>
          <w:bCs/>
          <w:sz w:val="32"/>
          <w:szCs w:val="32"/>
        </w:rPr>
        <w:t>（一）身体素质测试</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1、半场往返跑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测试方法：考生站在底线中线处，分别逆时针逐次跑向半场4个点，将各点的球拿回底线中线处（如图），计所需时间。（二）基本技术测试</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1、正反手底线</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测试方法：考生站在底线附近，陪练在场地对侧供球到考生正、反手半区位置，每个考生正、反手各打5个直线、5个斜线球（正、反手斜或直线以左右半场单打区划分）。共10个球。</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发球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测试方法：考生1区、2区发球，每区各发10个球，要求5个内角，5个外角。</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bCs/>
          <w:kern w:val="0"/>
          <w:sz w:val="32"/>
          <w:szCs w:val="32"/>
        </w:rPr>
        <w:t>3、技评</w:t>
      </w:r>
      <w:r>
        <w:rPr>
          <w:rFonts w:hint="eastAsia" w:ascii="仿宋_GB2312" w:hAnsi="仿宋_GB2312" w:eastAsia="仿宋_GB2312" w:cs="仿宋_GB2312"/>
          <w:b w:val="0"/>
          <w:bCs w:val="0"/>
          <w:color w:val="FFFFFF"/>
          <w:sz w:val="32"/>
          <w:szCs w:val="32"/>
        </w:rPr>
        <w:t>北京化工大学2011年篮球网球健美操专业技术测</w:t>
      </w:r>
      <w:r>
        <w:rPr>
          <w:rFonts w:hint="eastAsia" w:ascii="仿宋_GB2312" w:hAnsi="仿宋_GB2312" w:eastAsia="仿宋_GB2312" w:cs="仿宋_GB2312"/>
          <w:b w:val="0"/>
          <w:bCs w:val="0"/>
          <w:kern w:val="0"/>
          <w:sz w:val="32"/>
          <w:szCs w:val="32"/>
        </w:rPr>
        <w:t>测试方法：从考生基本技术动作的协调性、连贯性，击球的速度和旋转，步法的移动调整能力，控制球的能力等分别进行考核。</w:t>
      </w:r>
      <w:r>
        <w:rPr>
          <w:rFonts w:hint="eastAsia" w:ascii="仿宋_GB2312" w:hAnsi="仿宋_GB2312" w:eastAsia="仿宋_GB2312" w:cs="仿宋_GB2312"/>
          <w:b w:val="0"/>
          <w:bCs w:val="0"/>
          <w:color w:val="FFFFFF"/>
          <w:sz w:val="32"/>
          <w:szCs w:val="32"/>
        </w:rPr>
        <w:t>傈墅臃捌堤厅诵椿</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（三）实战能力测试北</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color w:val="FFFFFF"/>
          <w:sz w:val="32"/>
          <w:szCs w:val="32"/>
        </w:rPr>
      </w:pPr>
      <w:r>
        <w:rPr>
          <w:rFonts w:hint="eastAsia" w:ascii="仿宋_GB2312" w:hAnsi="仿宋_GB2312" w:eastAsia="仿宋_GB2312" w:cs="仿宋_GB2312"/>
          <w:b/>
          <w:bCs/>
          <w:kern w:val="0"/>
          <w:sz w:val="32"/>
          <w:szCs w:val="32"/>
        </w:rPr>
        <w:t>1、比赛成绩</w:t>
      </w:r>
      <w:r>
        <w:rPr>
          <w:rFonts w:hint="eastAsia" w:ascii="仿宋_GB2312" w:hAnsi="仿宋_GB2312" w:eastAsia="仿宋_GB2312" w:cs="仿宋_GB2312"/>
          <w:b/>
          <w:bCs/>
          <w:color w:val="FFFFFF"/>
          <w:sz w:val="32"/>
          <w:szCs w:val="32"/>
        </w:rPr>
        <w:t>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测试方法：随机抽签，打一场单打比赛，赛制一盘，如时间紧打一场短盘比赛。</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2、战术意识及打法特点</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测试方法：通过比赛，观察考生的发球、接发球战术意识，相持球能力，进攻、防守、相持的转换能力及打法类型的鲜明、合理性、实用性等方面进行考核。</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kern w:val="0"/>
          <w:sz w:val="32"/>
          <w:szCs w:val="32"/>
          <w:highlight w:val="none"/>
          <w:lang w:eastAsia="zh-CN"/>
        </w:rPr>
        <w:t>岗位三：中学美术教师</w:t>
      </w:r>
      <w:r>
        <w:rPr>
          <w:rFonts w:hint="eastAsia" w:ascii="黑体" w:hAnsi="黑体" w:eastAsia="黑体" w:cs="黑体"/>
          <w:b w:val="0"/>
          <w:bCs w:val="0"/>
          <w:sz w:val="32"/>
          <w:szCs w:val="32"/>
          <w:highlight w:val="none"/>
        </w:rPr>
        <w:t>（</w:t>
      </w:r>
      <w:r>
        <w:rPr>
          <w:rFonts w:hint="eastAsia" w:ascii="黑体" w:hAnsi="黑体" w:eastAsia="黑体" w:cs="黑体"/>
          <w:b w:val="0"/>
          <w:bCs w:val="0"/>
          <w:sz w:val="32"/>
          <w:szCs w:val="32"/>
          <w:highlight w:val="none"/>
          <w:lang w:eastAsia="zh-CN"/>
        </w:rPr>
        <w:t>国画、油画、书法</w:t>
      </w:r>
      <w:r>
        <w:rPr>
          <w:rFonts w:hint="eastAsia" w:ascii="黑体" w:hAnsi="黑体" w:eastAsia="黑体" w:cs="黑体"/>
          <w:b w:val="0"/>
          <w:bCs w:val="0"/>
          <w:sz w:val="32"/>
          <w:szCs w:val="32"/>
          <w:highlight w:val="none"/>
        </w:rPr>
        <w:t>专项）</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一、测试内容</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1.考生自备绘画材料（纸除外），根据学校所给考题，现场作画，时间50分钟（70分）；</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2.速写（书法）测试，二选一，自备材料（纸除外），现场命题，时间10分钟（30分）。</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4501"/>
        <w:gridCol w:w="945"/>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30"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b/>
                <w:bCs/>
                <w:i w:val="0"/>
                <w:caps w:val="0"/>
                <w:color w:val="2F2F2F"/>
                <w:spacing w:val="0"/>
                <w:sz w:val="24"/>
                <w:szCs w:val="24"/>
                <w:shd w:val="clear" w:fill="FFFFFF"/>
                <w:vertAlign w:val="baseline"/>
                <w:lang w:val="en-US" w:eastAsia="zh-CN"/>
              </w:rPr>
              <w:t>技能项目</w:t>
            </w:r>
          </w:p>
        </w:tc>
        <w:tc>
          <w:tcPr>
            <w:tcW w:w="4501"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b/>
                <w:bCs/>
                <w:i w:val="0"/>
                <w:caps w:val="0"/>
                <w:color w:val="2F2F2F"/>
                <w:spacing w:val="0"/>
                <w:sz w:val="24"/>
                <w:szCs w:val="24"/>
                <w:shd w:val="clear" w:fill="FFFFFF"/>
                <w:vertAlign w:val="baseline"/>
                <w:lang w:val="en-US" w:eastAsia="zh-CN"/>
              </w:rPr>
              <w:t>评分标准</w:t>
            </w:r>
          </w:p>
        </w:tc>
        <w:tc>
          <w:tcPr>
            <w:tcW w:w="945"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b/>
                <w:bCs/>
                <w:i w:val="0"/>
                <w:caps w:val="0"/>
                <w:color w:val="2F2F2F"/>
                <w:spacing w:val="0"/>
                <w:sz w:val="24"/>
                <w:szCs w:val="24"/>
                <w:shd w:val="clear" w:fill="FFFFFF"/>
                <w:vertAlign w:val="baseline"/>
                <w:lang w:val="en-US" w:eastAsia="zh-CN"/>
              </w:rPr>
              <w:t>分值</w:t>
            </w:r>
          </w:p>
        </w:tc>
        <w:tc>
          <w:tcPr>
            <w:tcW w:w="946"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b/>
                <w:bCs/>
                <w:i w:val="0"/>
                <w:caps w:val="0"/>
                <w:color w:val="2F2F2F"/>
                <w:spacing w:val="0"/>
                <w:sz w:val="24"/>
                <w:szCs w:val="24"/>
                <w:shd w:val="clear" w:fill="FFFFFF"/>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30"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i w:val="0"/>
                <w:caps w:val="0"/>
                <w:color w:val="2F2F2F"/>
                <w:spacing w:val="0"/>
                <w:sz w:val="24"/>
                <w:szCs w:val="24"/>
                <w:shd w:val="clear" w:fill="FFFFFF"/>
                <w:vertAlign w:val="baseline"/>
                <w:lang w:val="en-US" w:eastAsia="zh-CN"/>
              </w:rPr>
              <w:t>命题绘画</w:t>
            </w:r>
          </w:p>
        </w:tc>
        <w:tc>
          <w:tcPr>
            <w:tcW w:w="4501" w:type="dxa"/>
          </w:tcPr>
          <w:p>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i w:val="0"/>
                <w:caps w:val="0"/>
                <w:color w:val="2F2F2F"/>
                <w:spacing w:val="0"/>
                <w:sz w:val="24"/>
                <w:szCs w:val="24"/>
                <w:shd w:val="clear" w:fill="FFFFFF"/>
                <w:vertAlign w:val="baseline"/>
                <w:lang w:val="en-US" w:eastAsia="zh-CN"/>
              </w:rPr>
              <w:t>构图完整、布局合理；（25分）</w:t>
            </w:r>
          </w:p>
          <w:p>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i w:val="0"/>
                <w:caps w:val="0"/>
                <w:color w:val="2F2F2F"/>
                <w:spacing w:val="0"/>
                <w:sz w:val="24"/>
                <w:szCs w:val="24"/>
                <w:shd w:val="clear" w:fill="FFFFFF"/>
                <w:vertAlign w:val="baseline"/>
                <w:lang w:val="en-US" w:eastAsia="zh-CN"/>
              </w:rPr>
              <w:t>主题表现符合试图规定及要求；（20分）</w:t>
            </w:r>
          </w:p>
          <w:p>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i w:val="0"/>
                <w:caps w:val="0"/>
                <w:color w:val="2F2F2F"/>
                <w:spacing w:val="0"/>
                <w:sz w:val="24"/>
                <w:szCs w:val="24"/>
                <w:shd w:val="clear" w:fill="FFFFFF"/>
                <w:vertAlign w:val="baseline"/>
                <w:lang w:val="en-US" w:eastAsia="zh-CN"/>
              </w:rPr>
              <w:t>用色生动、明确，关系合理；（15分）</w:t>
            </w:r>
          </w:p>
          <w:p>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i w:val="0"/>
                <w:caps w:val="0"/>
                <w:color w:val="2F2F2F"/>
                <w:spacing w:val="0"/>
                <w:sz w:val="24"/>
                <w:szCs w:val="24"/>
                <w:shd w:val="clear" w:fill="FFFFFF"/>
                <w:vertAlign w:val="baseline"/>
                <w:lang w:val="en-US" w:eastAsia="zh-CN"/>
              </w:rPr>
              <w:t>有一定创新意识。（10分）</w:t>
            </w:r>
          </w:p>
        </w:tc>
        <w:tc>
          <w:tcPr>
            <w:tcW w:w="945"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i w:val="0"/>
                <w:caps w:val="0"/>
                <w:color w:val="2F2F2F"/>
                <w:spacing w:val="0"/>
                <w:sz w:val="24"/>
                <w:szCs w:val="24"/>
                <w:shd w:val="clear" w:fill="FFFFFF"/>
                <w:vertAlign w:val="baseline"/>
                <w:lang w:val="en-US" w:eastAsia="zh-CN"/>
              </w:rPr>
              <w:t>70分</w:t>
            </w:r>
          </w:p>
        </w:tc>
        <w:tc>
          <w:tcPr>
            <w:tcW w:w="946"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130"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i w:val="0"/>
                <w:caps w:val="0"/>
                <w:color w:val="2F2F2F"/>
                <w:spacing w:val="0"/>
                <w:sz w:val="24"/>
                <w:szCs w:val="24"/>
                <w:shd w:val="clear" w:fill="FFFFFF"/>
                <w:lang w:val="en-US" w:eastAsia="zh-CN"/>
              </w:rPr>
              <w:t>速写</w:t>
            </w:r>
          </w:p>
        </w:tc>
        <w:tc>
          <w:tcPr>
            <w:tcW w:w="4501"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i w:val="0"/>
                <w:caps w:val="0"/>
                <w:color w:val="2F2F2F"/>
                <w:spacing w:val="0"/>
                <w:sz w:val="24"/>
                <w:szCs w:val="24"/>
                <w:shd w:val="clear" w:fill="FFFFFF"/>
              </w:rPr>
              <w:t>1.符合试题规定及要求;</w:t>
            </w:r>
            <w:r>
              <w:rPr>
                <w:rFonts w:hint="eastAsia" w:ascii="仿宋_GB2312" w:hAnsi="仿宋_GB2312" w:eastAsia="仿宋_GB2312" w:cs="仿宋_GB2312"/>
                <w:i w:val="0"/>
                <w:caps w:val="0"/>
                <w:color w:val="2F2F2F"/>
                <w:spacing w:val="0"/>
                <w:sz w:val="24"/>
                <w:szCs w:val="24"/>
                <w:shd w:val="clear" w:fill="FFFFFF"/>
                <w:lang w:eastAsia="zh-CN"/>
              </w:rPr>
              <w:t>（</w:t>
            </w:r>
            <w:r>
              <w:rPr>
                <w:rFonts w:hint="eastAsia" w:ascii="仿宋_GB2312" w:hAnsi="仿宋_GB2312" w:eastAsia="仿宋_GB2312" w:cs="仿宋_GB2312"/>
                <w:i w:val="0"/>
                <w:caps w:val="0"/>
                <w:color w:val="2F2F2F"/>
                <w:spacing w:val="0"/>
                <w:sz w:val="24"/>
                <w:szCs w:val="24"/>
                <w:shd w:val="clear" w:fill="FFFFFF"/>
                <w:lang w:val="en-US" w:eastAsia="zh-CN"/>
              </w:rPr>
              <w:t>5分</w:t>
            </w:r>
            <w:r>
              <w:rPr>
                <w:rFonts w:hint="eastAsia" w:ascii="仿宋_GB2312" w:hAnsi="仿宋_GB2312" w:eastAsia="仿宋_GB2312" w:cs="仿宋_GB2312"/>
                <w:i w:val="0"/>
                <w:caps w:val="0"/>
                <w:color w:val="2F2F2F"/>
                <w:spacing w:val="0"/>
                <w:sz w:val="24"/>
                <w:szCs w:val="24"/>
                <w:shd w:val="clear" w:fill="FFFFFF"/>
                <w:lang w:eastAsia="zh-CN"/>
              </w:rPr>
              <w:t>）</w:t>
            </w:r>
            <w:r>
              <w:rPr>
                <w:rFonts w:hint="eastAsia" w:ascii="仿宋_GB2312" w:hAnsi="仿宋_GB2312" w:eastAsia="仿宋_GB2312" w:cs="仿宋_GB2312"/>
                <w:i w:val="0"/>
                <w:caps w:val="0"/>
                <w:color w:val="2F2F2F"/>
                <w:spacing w:val="0"/>
                <w:sz w:val="24"/>
                <w:szCs w:val="24"/>
                <w:shd w:val="clear" w:fill="FFFFFF"/>
              </w:rPr>
              <w:br w:type="textWrapping"/>
            </w:r>
            <w:r>
              <w:rPr>
                <w:rFonts w:hint="eastAsia" w:ascii="仿宋_GB2312" w:hAnsi="仿宋_GB2312" w:eastAsia="仿宋_GB2312" w:cs="仿宋_GB2312"/>
                <w:i w:val="0"/>
                <w:caps w:val="0"/>
                <w:color w:val="2F2F2F"/>
                <w:spacing w:val="0"/>
                <w:sz w:val="24"/>
                <w:szCs w:val="24"/>
                <w:shd w:val="clear" w:fill="FFFFFF"/>
              </w:rPr>
              <w:t>2.比例正确、动态特征鲜明，具有写生动态线条的生动性;</w:t>
            </w:r>
            <w:r>
              <w:rPr>
                <w:rFonts w:hint="eastAsia" w:ascii="仿宋_GB2312" w:hAnsi="仿宋_GB2312" w:eastAsia="仿宋_GB2312" w:cs="仿宋_GB2312"/>
                <w:i w:val="0"/>
                <w:caps w:val="0"/>
                <w:color w:val="2F2F2F"/>
                <w:spacing w:val="0"/>
                <w:sz w:val="24"/>
                <w:szCs w:val="24"/>
                <w:shd w:val="clear" w:fill="FFFFFF"/>
                <w:lang w:eastAsia="zh-CN"/>
              </w:rPr>
              <w:t>（</w:t>
            </w:r>
            <w:r>
              <w:rPr>
                <w:rFonts w:hint="eastAsia" w:ascii="仿宋_GB2312" w:hAnsi="仿宋_GB2312" w:eastAsia="仿宋_GB2312" w:cs="仿宋_GB2312"/>
                <w:i w:val="0"/>
                <w:caps w:val="0"/>
                <w:color w:val="2F2F2F"/>
                <w:spacing w:val="0"/>
                <w:sz w:val="24"/>
                <w:szCs w:val="24"/>
                <w:shd w:val="clear" w:fill="FFFFFF"/>
                <w:lang w:val="en-US" w:eastAsia="zh-CN"/>
              </w:rPr>
              <w:t>15分</w:t>
            </w:r>
            <w:r>
              <w:rPr>
                <w:rFonts w:hint="eastAsia" w:ascii="仿宋_GB2312" w:hAnsi="仿宋_GB2312" w:eastAsia="仿宋_GB2312" w:cs="仿宋_GB2312"/>
                <w:i w:val="0"/>
                <w:caps w:val="0"/>
                <w:color w:val="2F2F2F"/>
                <w:spacing w:val="0"/>
                <w:sz w:val="24"/>
                <w:szCs w:val="24"/>
                <w:shd w:val="clear" w:fill="FFFFFF"/>
                <w:lang w:eastAsia="zh-CN"/>
              </w:rPr>
              <w:t>）</w:t>
            </w:r>
            <w:r>
              <w:rPr>
                <w:rFonts w:hint="eastAsia" w:ascii="仿宋_GB2312" w:hAnsi="仿宋_GB2312" w:eastAsia="仿宋_GB2312" w:cs="仿宋_GB2312"/>
                <w:i w:val="0"/>
                <w:caps w:val="0"/>
                <w:color w:val="2F2F2F"/>
                <w:spacing w:val="0"/>
                <w:sz w:val="24"/>
                <w:szCs w:val="24"/>
                <w:shd w:val="clear" w:fill="FFFFFF"/>
              </w:rPr>
              <w:br w:type="textWrapping"/>
            </w:r>
            <w:r>
              <w:rPr>
                <w:rFonts w:hint="eastAsia" w:ascii="仿宋_GB2312" w:hAnsi="仿宋_GB2312" w:eastAsia="仿宋_GB2312" w:cs="仿宋_GB2312"/>
                <w:i w:val="0"/>
                <w:caps w:val="0"/>
                <w:color w:val="2F2F2F"/>
                <w:spacing w:val="0"/>
                <w:sz w:val="24"/>
                <w:szCs w:val="24"/>
                <w:shd w:val="clear" w:fill="FFFFFF"/>
                <w:lang w:val="en-US" w:eastAsia="zh-CN"/>
              </w:rPr>
              <w:t>3</w:t>
            </w:r>
            <w:r>
              <w:rPr>
                <w:rFonts w:hint="eastAsia" w:ascii="仿宋_GB2312" w:hAnsi="仿宋_GB2312" w:eastAsia="仿宋_GB2312" w:cs="仿宋_GB2312"/>
                <w:i w:val="0"/>
                <w:caps w:val="0"/>
                <w:color w:val="2F2F2F"/>
                <w:spacing w:val="0"/>
                <w:sz w:val="24"/>
                <w:szCs w:val="24"/>
                <w:shd w:val="clear" w:fill="FFFFFF"/>
              </w:rPr>
              <w:t>.关键细节有确切表现。</w:t>
            </w:r>
            <w:r>
              <w:rPr>
                <w:rFonts w:hint="eastAsia" w:ascii="仿宋_GB2312" w:hAnsi="仿宋_GB2312" w:eastAsia="仿宋_GB2312" w:cs="仿宋_GB2312"/>
                <w:i w:val="0"/>
                <w:caps w:val="0"/>
                <w:color w:val="2F2F2F"/>
                <w:spacing w:val="0"/>
                <w:sz w:val="24"/>
                <w:szCs w:val="24"/>
                <w:shd w:val="clear" w:fill="FFFFFF"/>
                <w:lang w:eastAsia="zh-CN"/>
              </w:rPr>
              <w:t>（</w:t>
            </w:r>
            <w:r>
              <w:rPr>
                <w:rFonts w:hint="eastAsia" w:ascii="仿宋_GB2312" w:hAnsi="仿宋_GB2312" w:eastAsia="仿宋_GB2312" w:cs="仿宋_GB2312"/>
                <w:i w:val="0"/>
                <w:caps w:val="0"/>
                <w:color w:val="2F2F2F"/>
                <w:spacing w:val="0"/>
                <w:sz w:val="24"/>
                <w:szCs w:val="24"/>
                <w:shd w:val="clear" w:fill="FFFFFF"/>
                <w:lang w:val="en-US" w:eastAsia="zh-CN"/>
              </w:rPr>
              <w:t>10分</w:t>
            </w:r>
            <w:r>
              <w:rPr>
                <w:rFonts w:hint="eastAsia" w:ascii="仿宋_GB2312" w:hAnsi="仿宋_GB2312" w:eastAsia="仿宋_GB2312" w:cs="仿宋_GB2312"/>
                <w:i w:val="0"/>
                <w:caps w:val="0"/>
                <w:color w:val="2F2F2F"/>
                <w:spacing w:val="0"/>
                <w:sz w:val="24"/>
                <w:szCs w:val="24"/>
                <w:shd w:val="clear" w:fill="FFFFFF"/>
                <w:lang w:eastAsia="zh-CN"/>
              </w:rPr>
              <w:t>）</w:t>
            </w:r>
          </w:p>
        </w:tc>
        <w:tc>
          <w:tcPr>
            <w:tcW w:w="945"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i w:val="0"/>
                <w:caps w:val="0"/>
                <w:color w:val="2F2F2F"/>
                <w:spacing w:val="0"/>
                <w:sz w:val="24"/>
                <w:szCs w:val="24"/>
                <w:shd w:val="clear" w:fill="FFFFFF"/>
                <w:vertAlign w:val="baseline"/>
                <w:lang w:val="en-US" w:eastAsia="zh-CN"/>
              </w:rPr>
              <w:t>30分</w:t>
            </w:r>
          </w:p>
        </w:tc>
        <w:tc>
          <w:tcPr>
            <w:tcW w:w="946"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2130"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lang w:val="en-US" w:eastAsia="zh-CN"/>
              </w:rPr>
            </w:pPr>
            <w:r>
              <w:rPr>
                <w:rFonts w:hint="eastAsia" w:ascii="仿宋_GB2312" w:hAnsi="仿宋_GB2312" w:eastAsia="仿宋_GB2312" w:cs="仿宋_GB2312"/>
                <w:i w:val="0"/>
                <w:caps w:val="0"/>
                <w:color w:val="2F2F2F"/>
                <w:spacing w:val="0"/>
                <w:sz w:val="24"/>
                <w:szCs w:val="24"/>
                <w:shd w:val="clear" w:fill="FFFFFF"/>
                <w:lang w:val="en-US" w:eastAsia="zh-CN"/>
              </w:rPr>
              <w:t>书法</w:t>
            </w:r>
          </w:p>
        </w:tc>
        <w:tc>
          <w:tcPr>
            <w:tcW w:w="4501"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rPr>
            </w:pPr>
            <w:r>
              <w:rPr>
                <w:rFonts w:hint="eastAsia" w:ascii="仿宋_GB2312" w:hAnsi="仿宋_GB2312" w:eastAsia="仿宋_GB2312" w:cs="仿宋_GB2312"/>
                <w:i w:val="0"/>
                <w:caps w:val="0"/>
                <w:color w:val="2F2F2F"/>
                <w:spacing w:val="0"/>
                <w:sz w:val="24"/>
                <w:szCs w:val="24"/>
                <w:shd w:val="clear" w:fill="FFFFFF"/>
                <w:lang w:val="en-US" w:eastAsia="zh-CN"/>
              </w:rPr>
              <w:t>1.</w:t>
            </w:r>
            <w:r>
              <w:rPr>
                <w:rFonts w:hint="eastAsia" w:ascii="仿宋_GB2312" w:hAnsi="仿宋_GB2312" w:eastAsia="仿宋_GB2312" w:cs="仿宋_GB2312"/>
                <w:i w:val="0"/>
                <w:caps w:val="0"/>
                <w:color w:val="2F2F2F"/>
                <w:spacing w:val="0"/>
                <w:sz w:val="24"/>
                <w:szCs w:val="24"/>
                <w:shd w:val="clear" w:fill="FFFFFF"/>
              </w:rPr>
              <w:t>格式标准、规范，笔画清楚到位，无错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lang w:eastAsia="zh-CN"/>
              </w:rPr>
            </w:pPr>
            <w:r>
              <w:rPr>
                <w:rFonts w:hint="eastAsia" w:ascii="仿宋_GB2312" w:hAnsi="仿宋_GB2312" w:eastAsia="仿宋_GB2312" w:cs="仿宋_GB2312"/>
                <w:i w:val="0"/>
                <w:caps w:val="0"/>
                <w:color w:val="2F2F2F"/>
                <w:spacing w:val="0"/>
                <w:sz w:val="24"/>
                <w:szCs w:val="24"/>
                <w:shd w:val="clear" w:fill="FFFFFF"/>
              </w:rPr>
              <w:t>别字、漏字、多字，无特殊情况不用繁体字、异体字。</w:t>
            </w:r>
            <w:r>
              <w:rPr>
                <w:rFonts w:hint="eastAsia" w:ascii="仿宋_GB2312" w:hAnsi="仿宋_GB2312" w:eastAsia="仿宋_GB2312" w:cs="仿宋_GB2312"/>
                <w:i w:val="0"/>
                <w:caps w:val="0"/>
                <w:color w:val="2F2F2F"/>
                <w:spacing w:val="0"/>
                <w:sz w:val="24"/>
                <w:szCs w:val="24"/>
                <w:shd w:val="clear" w:fill="FFFFFF"/>
                <w:lang w:eastAsia="zh-CN"/>
              </w:rPr>
              <w:t>（</w:t>
            </w:r>
            <w:r>
              <w:rPr>
                <w:rFonts w:hint="eastAsia" w:ascii="仿宋_GB2312" w:hAnsi="仿宋_GB2312" w:eastAsia="仿宋_GB2312" w:cs="仿宋_GB2312"/>
                <w:i w:val="0"/>
                <w:caps w:val="0"/>
                <w:color w:val="2F2F2F"/>
                <w:spacing w:val="0"/>
                <w:sz w:val="24"/>
                <w:szCs w:val="24"/>
                <w:shd w:val="clear" w:fill="FFFFFF"/>
                <w:lang w:val="en-US" w:eastAsia="zh-CN"/>
              </w:rPr>
              <w:t>5分</w:t>
            </w:r>
            <w:r>
              <w:rPr>
                <w:rFonts w:hint="eastAsia" w:ascii="仿宋_GB2312" w:hAnsi="仿宋_GB2312" w:eastAsia="仿宋_GB2312" w:cs="仿宋_GB2312"/>
                <w:i w:val="0"/>
                <w:caps w:val="0"/>
                <w:color w:val="2F2F2F"/>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lang w:val="en-US" w:eastAsia="zh-CN"/>
              </w:rPr>
            </w:pPr>
            <w:r>
              <w:rPr>
                <w:rFonts w:hint="eastAsia" w:ascii="仿宋_GB2312" w:hAnsi="仿宋_GB2312" w:eastAsia="仿宋_GB2312" w:cs="仿宋_GB2312"/>
                <w:i w:val="0"/>
                <w:caps w:val="0"/>
                <w:color w:val="2F2F2F"/>
                <w:spacing w:val="0"/>
                <w:sz w:val="24"/>
                <w:szCs w:val="24"/>
                <w:shd w:val="clear" w:fill="FFFFFF"/>
                <w:lang w:val="en-US" w:eastAsia="zh-CN"/>
              </w:rPr>
              <w:t>2.合理，重心平稳，笔画流畅，明亮度高，</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lang w:val="en-US" w:eastAsia="zh-CN"/>
              </w:rPr>
            </w:pPr>
            <w:r>
              <w:rPr>
                <w:rFonts w:hint="eastAsia" w:ascii="仿宋_GB2312" w:hAnsi="仿宋_GB2312" w:eastAsia="仿宋_GB2312" w:cs="仿宋_GB2312"/>
                <w:i w:val="0"/>
                <w:caps w:val="0"/>
                <w:color w:val="2F2F2F"/>
                <w:spacing w:val="0"/>
                <w:sz w:val="24"/>
                <w:szCs w:val="24"/>
                <w:shd w:val="clear" w:fill="FFFFFF"/>
                <w:lang w:val="en-US" w:eastAsia="zh-CN"/>
              </w:rPr>
              <w:t>力量感强，分布匀称。（10分）</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lang w:val="en-US" w:eastAsia="zh-CN"/>
              </w:rPr>
            </w:pPr>
            <w:r>
              <w:rPr>
                <w:rFonts w:hint="eastAsia" w:ascii="仿宋_GB2312" w:hAnsi="仿宋_GB2312" w:eastAsia="仿宋_GB2312" w:cs="仿宋_GB2312"/>
                <w:i w:val="0"/>
                <w:caps w:val="0"/>
                <w:color w:val="2F2F2F"/>
                <w:spacing w:val="0"/>
                <w:sz w:val="24"/>
                <w:szCs w:val="24"/>
                <w:shd w:val="clear" w:fill="FFFFFF"/>
                <w:lang w:val="en-US" w:eastAsia="zh-CN"/>
              </w:rPr>
              <w:t>3.美观大方，行列整齐、布局到位、卷面</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lang w:val="en-US" w:eastAsia="zh-CN"/>
              </w:rPr>
            </w:pPr>
            <w:r>
              <w:rPr>
                <w:rFonts w:hint="eastAsia" w:ascii="仿宋_GB2312" w:hAnsi="仿宋_GB2312" w:eastAsia="仿宋_GB2312" w:cs="仿宋_GB2312"/>
                <w:i w:val="0"/>
                <w:caps w:val="0"/>
                <w:color w:val="2F2F2F"/>
                <w:spacing w:val="0"/>
                <w:sz w:val="24"/>
                <w:szCs w:val="24"/>
                <w:shd w:val="clear" w:fill="FFFFFF"/>
                <w:lang w:val="en-US" w:eastAsia="zh-CN"/>
              </w:rPr>
              <w:t>整洁、干净，无涂改。（15分）</w:t>
            </w:r>
          </w:p>
        </w:tc>
        <w:tc>
          <w:tcPr>
            <w:tcW w:w="945"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r>
              <w:rPr>
                <w:rFonts w:hint="eastAsia" w:ascii="仿宋_GB2312" w:hAnsi="仿宋_GB2312" w:eastAsia="仿宋_GB2312" w:cs="仿宋_GB2312"/>
                <w:i w:val="0"/>
                <w:caps w:val="0"/>
                <w:color w:val="2F2F2F"/>
                <w:spacing w:val="0"/>
                <w:sz w:val="24"/>
                <w:szCs w:val="24"/>
                <w:shd w:val="clear" w:fill="FFFFFF"/>
                <w:vertAlign w:val="baseline"/>
                <w:lang w:val="en-US" w:eastAsia="zh-CN"/>
              </w:rPr>
              <w:t>30分</w:t>
            </w:r>
          </w:p>
        </w:tc>
        <w:tc>
          <w:tcPr>
            <w:tcW w:w="946"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2F2F2F"/>
                <w:spacing w:val="0"/>
                <w:sz w:val="24"/>
                <w:szCs w:val="24"/>
                <w:shd w:val="clear" w:fill="FFFFFF"/>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四、有关事项</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（一）考生必须在规定时间到达考场，迟到的考生视为自动放弃测试资格，不得参加测试。</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（二）考生到场后，现场抽签决定考试序号。考试顺序靠后的考生需封闭到考试结束时才能离开考场，请相关考生提前做好准备。</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（三）考场内仅提供</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测试所需的篮球、网球等基本用具，考场内不提供更换服装的场地。</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（四）考生不得携带任何通讯工具，一经发现考生有违规行为的，取消测试资格。</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（五）考点实行封闭管理，考生必须遵守测试纪律，不得威胁、侮辱、诽谤、诬陷评委，不得扰乱测试考场，不得拒绝、阻碍测试工作人员执行公务，否则取消测试资格。</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测试评委和工作人员应本着对考生高度负责的态度，认真履行职责，严格遵守测试工作纪律和有关保密规定。测试期间，所有评委、工作人员一律不得携带通讯工具进入测试场所。要切实做好测试的保密工作，对造成泄密的，要按规定追究当事人和有关领导的责任。</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（七）凡测试评委或工作人员与考生有属于国家规定情形需要回避的，必须实行回避。</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（八）评委打完分后，当场公布测试结果。</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华南师范大学附属南沙中学</w:t>
      </w:r>
    </w:p>
    <w:p>
      <w:pPr>
        <w:keepNext w:val="0"/>
        <w:keepLines w:val="0"/>
        <w:pageBreakBefore w:val="0"/>
        <w:kinsoku/>
        <w:wordWrap/>
        <w:overflowPunct/>
        <w:topLinePunct w:val="0"/>
        <w:autoSpaceDE/>
        <w:autoSpaceDN/>
        <w:bidi w:val="0"/>
        <w:adjustRightInd/>
        <w:snapToGrid/>
        <w:spacing w:line="360" w:lineRule="auto"/>
        <w:ind w:firstLine="640" w:firstLineChars="2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80BFDF"/>
    <w:multiLevelType w:val="singleLevel"/>
    <w:tmpl w:val="A480BFDF"/>
    <w:lvl w:ilvl="0" w:tentative="0">
      <w:start w:val="2"/>
      <w:numFmt w:val="decimal"/>
      <w:suff w:val="nothing"/>
      <w:lvlText w:val="%1、"/>
      <w:lvlJc w:val="left"/>
    </w:lvl>
  </w:abstractNum>
  <w:abstractNum w:abstractNumId="1">
    <w:nsid w:val="CED43E78"/>
    <w:multiLevelType w:val="singleLevel"/>
    <w:tmpl w:val="CED43E78"/>
    <w:lvl w:ilvl="0" w:tentative="0">
      <w:start w:val="3"/>
      <w:numFmt w:val="chineseCounting"/>
      <w:suff w:val="nothing"/>
      <w:lvlText w:val="%1、"/>
      <w:lvlJc w:val="left"/>
      <w:rPr>
        <w:rFonts w:hint="eastAsia"/>
      </w:rPr>
    </w:lvl>
  </w:abstractNum>
  <w:abstractNum w:abstractNumId="2">
    <w:nsid w:val="29D18816"/>
    <w:multiLevelType w:val="singleLevel"/>
    <w:tmpl w:val="29D1881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0114C5B"/>
    <w:rsid w:val="000C4BE3"/>
    <w:rsid w:val="0017572C"/>
    <w:rsid w:val="00323FA2"/>
    <w:rsid w:val="00477868"/>
    <w:rsid w:val="007F1AA8"/>
    <w:rsid w:val="008F67C2"/>
    <w:rsid w:val="00B6231C"/>
    <w:rsid w:val="00C11BDA"/>
    <w:rsid w:val="00CB3704"/>
    <w:rsid w:val="00D95915"/>
    <w:rsid w:val="00F62667"/>
    <w:rsid w:val="02681558"/>
    <w:rsid w:val="0F5978EB"/>
    <w:rsid w:val="10114C5B"/>
    <w:rsid w:val="17CF13B6"/>
    <w:rsid w:val="1A902743"/>
    <w:rsid w:val="1BED2A47"/>
    <w:rsid w:val="34535AA2"/>
    <w:rsid w:val="35AD2907"/>
    <w:rsid w:val="458949BE"/>
    <w:rsid w:val="6E6B3CA7"/>
    <w:rsid w:val="6FFF3D3A"/>
    <w:rsid w:val="7B0E3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9">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8"/>
    <customShpInfo spid="_x0000_s1027"/>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1343</Words>
  <Characters>7658</Characters>
  <Lines>63</Lines>
  <Paragraphs>17</Paragraphs>
  <TotalTime>1</TotalTime>
  <ScaleCrop>false</ScaleCrop>
  <LinksUpToDate>false</LinksUpToDate>
  <CharactersWithSpaces>8984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2020-04-01T06:36:00Z</dcterms:created>
  <dc:creator>林志海</dc:creator>
  <cp:lastModifiedBy>林志海</cp:lastModifiedBy>
  <dcterms:modified xsi:type="dcterms:W3CDTF">2020-06-01T08:35:52Z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