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兵团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事业单位工作人员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  <w:t>专业参考目录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eastAsia="方正小标宋简体"/>
          <w:sz w:val="36"/>
          <w:szCs w:val="36"/>
        </w:rPr>
      </w:pPr>
    </w:p>
    <w:p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247" w:bottom="1474" w:left="1474" w:header="851" w:footer="1264" w:gutter="0"/>
          <w:pgNumType w:start="1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87" w:type="dxa"/>
          <w:noWrap w:val="0"/>
          <w:vAlign w:val="top"/>
        </w:tcPr>
        <w:p>
          <w:pPr>
            <w:pStyle w:val="3"/>
            <w:ind w:right="360"/>
            <w:jc w:val="center"/>
            <w:rPr>
              <w:rFonts w:hint="eastAsia" w:ascii="方正楷体简体" w:eastAsia="方正楷体简体"/>
              <w:sz w:val="28"/>
              <w:szCs w:val="28"/>
            </w:rPr>
          </w:pPr>
          <w:r>
            <w:rPr>
              <w:rFonts w:hint="eastAsia" w:ascii="方正楷体简体" w:eastAsia="方正楷体简体"/>
              <w:sz w:val="28"/>
              <w:szCs w:val="28"/>
            </w:rPr>
            <w:t xml:space="preserve">- </w:t>
          </w:r>
          <w:r>
            <w:rPr>
              <w:sz w:val="24"/>
              <w:szCs w:val="24"/>
            </w:rPr>
            <w:fldChar w:fldCharType="begin"/>
          </w:r>
          <w:r>
            <w:rPr>
              <w:rStyle w:val="7"/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>
            <w:rPr>
              <w:rStyle w:val="7"/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rFonts w:hint="eastAsia" w:ascii="方正楷体简体" w:eastAsia="方正楷体简体"/>
              <w:sz w:val="24"/>
              <w:szCs w:val="24"/>
            </w:rPr>
            <w:t xml:space="preserve"> </w:t>
          </w:r>
          <w:r>
            <w:rPr>
              <w:rFonts w:hint="eastAsia" w:ascii="方正楷体简体" w:eastAsia="方正楷体简体"/>
              <w:sz w:val="28"/>
              <w:szCs w:val="28"/>
            </w:rPr>
            <w:t>-</w:t>
          </w:r>
        </w:p>
      </w:tc>
    </w:tr>
  </w:tbl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235AF"/>
    <w:rsid w:val="433854E8"/>
    <w:rsid w:val="5C92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2020-05-09T09:20:00Z</dcterms:created>
  <dc:creator>行走在钢丝绳上的猫</dc:creator>
  <cp:lastModifiedBy>。祖国的花朵</cp:lastModifiedBy>
  <dcterms:modified xsi:type="dcterms:W3CDTF">2020-06-15T08:12:49Z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