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eastAsia" w:ascii="宋体" w:hAnsi="宋体" w:eastAsia="仿宋_GB2312"/>
          <w:kern w:val="0"/>
          <w:sz w:val="32"/>
          <w:szCs w:val="32"/>
        </w:rPr>
      </w:pPr>
      <w:r>
        <w:rPr>
          <w:rFonts w:hint="eastAsia" w:ascii="黑体" w:hAnsi="宋体" w:eastAsia="黑体"/>
          <w:kern w:val="0"/>
          <w:sz w:val="32"/>
          <w:szCs w:val="32"/>
        </w:rPr>
        <w:t>附件</w:t>
      </w:r>
      <w:r>
        <w:rPr>
          <w:rFonts w:hint="eastAsia" w:ascii="宋体" w:hAnsi="宋体" w:eastAsia="仿宋_GB2312"/>
          <w:kern w:val="0"/>
          <w:sz w:val="32"/>
          <w:szCs w:val="32"/>
        </w:rPr>
        <w:t>1：</w:t>
      </w:r>
    </w:p>
    <w:p>
      <w:pPr>
        <w:spacing w:line="600" w:lineRule="exact"/>
        <w:jc w:val="center"/>
        <w:rPr>
          <w:rFonts w:hint="eastAsia" w:ascii="宋体" w:hAnsi="宋体" w:eastAsia="方正小标宋简体" w:cs="宋体"/>
          <w:kern w:val="0"/>
          <w:sz w:val="44"/>
          <w:szCs w:val="44"/>
        </w:rPr>
      </w:pPr>
      <w:bookmarkStart w:id="0" w:name="_GoBack"/>
      <w:r>
        <w:rPr>
          <w:rFonts w:hint="eastAsia" w:ascii="宋体" w:hAnsi="宋体" w:eastAsia="方正小标宋简体" w:cs="宋体"/>
          <w:kern w:val="0"/>
          <w:sz w:val="44"/>
          <w:szCs w:val="44"/>
        </w:rPr>
        <w:t>赣州市聘任制公务员职位表</w:t>
      </w:r>
      <w:bookmarkEnd w:id="0"/>
    </w:p>
    <w:p>
      <w:pPr>
        <w:spacing w:line="300" w:lineRule="exact"/>
        <w:jc w:val="center"/>
        <w:rPr>
          <w:rFonts w:hint="eastAsia" w:ascii="宋体" w:hAnsi="宋体" w:eastAsia="方正小标宋简体" w:cs="宋体"/>
          <w:kern w:val="0"/>
          <w:sz w:val="44"/>
          <w:szCs w:val="44"/>
        </w:rPr>
      </w:pPr>
    </w:p>
    <w:tbl>
      <w:tblPr>
        <w:tblStyle w:val="5"/>
        <w:tblW w:w="14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80"/>
        <w:gridCol w:w="755"/>
        <w:gridCol w:w="533"/>
        <w:gridCol w:w="703"/>
        <w:gridCol w:w="866"/>
        <w:gridCol w:w="1161"/>
        <w:gridCol w:w="2908"/>
        <w:gridCol w:w="2086"/>
        <w:gridCol w:w="307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3" w:type="dxa"/>
            <w:vMerge w:val="restart"/>
            <w:noWrap w:val="0"/>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序号</w:t>
            </w:r>
          </w:p>
        </w:tc>
        <w:tc>
          <w:tcPr>
            <w:tcW w:w="980" w:type="dxa"/>
            <w:vMerge w:val="restart"/>
            <w:noWrap w:val="0"/>
            <w:vAlign w:val="center"/>
          </w:tcPr>
          <w:p>
            <w:pPr>
              <w:widowControl/>
              <w:spacing w:line="260" w:lineRule="exact"/>
              <w:jc w:val="center"/>
              <w:rPr>
                <w:rFonts w:hint="eastAsia" w:ascii="宋体" w:hAnsi="宋体" w:cs="宋体"/>
                <w:b/>
                <w:bCs/>
                <w:kern w:val="0"/>
                <w:szCs w:val="21"/>
              </w:rPr>
            </w:pPr>
            <w:r>
              <w:rPr>
                <w:rFonts w:hint="eastAsia" w:ascii="宋体" w:hAnsi="宋体" w:cs="宋体"/>
                <w:b/>
                <w:bCs/>
                <w:kern w:val="0"/>
                <w:szCs w:val="21"/>
              </w:rPr>
              <w:t>聘任</w:t>
            </w:r>
          </w:p>
          <w:p>
            <w:pPr>
              <w:widowControl/>
              <w:spacing w:line="260" w:lineRule="exact"/>
              <w:jc w:val="center"/>
              <w:rPr>
                <w:rFonts w:ascii="宋体" w:hAnsi="宋体" w:cs="宋体"/>
                <w:b/>
                <w:bCs/>
                <w:kern w:val="0"/>
                <w:szCs w:val="21"/>
              </w:rPr>
            </w:pPr>
            <w:r>
              <w:rPr>
                <w:rFonts w:hint="eastAsia" w:ascii="宋体" w:hAnsi="宋体" w:cs="宋体"/>
                <w:b/>
                <w:bCs/>
                <w:kern w:val="0"/>
                <w:szCs w:val="21"/>
              </w:rPr>
              <w:t>机关</w:t>
            </w:r>
          </w:p>
        </w:tc>
        <w:tc>
          <w:tcPr>
            <w:tcW w:w="755" w:type="dxa"/>
            <w:vMerge w:val="restart"/>
            <w:noWrap w:val="0"/>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岗位</w:t>
            </w:r>
          </w:p>
        </w:tc>
        <w:tc>
          <w:tcPr>
            <w:tcW w:w="533" w:type="dxa"/>
            <w:vMerge w:val="restart"/>
            <w:noWrap w:val="0"/>
            <w:vAlign w:val="center"/>
          </w:tcPr>
          <w:p>
            <w:pPr>
              <w:widowControl/>
              <w:spacing w:line="220" w:lineRule="exact"/>
              <w:jc w:val="center"/>
              <w:rPr>
                <w:rFonts w:hint="eastAsia" w:ascii="宋体" w:hAnsi="宋体" w:cs="宋体"/>
                <w:b/>
                <w:bCs/>
                <w:kern w:val="0"/>
                <w:szCs w:val="21"/>
              </w:rPr>
            </w:pPr>
            <w:r>
              <w:rPr>
                <w:rFonts w:hint="eastAsia" w:ascii="宋体" w:hAnsi="宋体" w:cs="宋体"/>
                <w:b/>
                <w:bCs/>
                <w:kern w:val="0"/>
                <w:szCs w:val="21"/>
              </w:rPr>
              <w:t>计</w:t>
            </w:r>
          </w:p>
          <w:p>
            <w:pPr>
              <w:widowControl/>
              <w:spacing w:line="220" w:lineRule="exact"/>
              <w:jc w:val="center"/>
              <w:rPr>
                <w:rFonts w:hint="eastAsia" w:ascii="宋体" w:hAnsi="宋体" w:cs="宋体"/>
                <w:b/>
                <w:bCs/>
                <w:kern w:val="0"/>
                <w:szCs w:val="21"/>
              </w:rPr>
            </w:pPr>
            <w:r>
              <w:rPr>
                <w:rFonts w:hint="eastAsia" w:ascii="宋体" w:hAnsi="宋体" w:cs="宋体"/>
                <w:b/>
                <w:bCs/>
                <w:kern w:val="0"/>
                <w:szCs w:val="21"/>
              </w:rPr>
              <w:t>划</w:t>
            </w:r>
          </w:p>
          <w:p>
            <w:pPr>
              <w:widowControl/>
              <w:spacing w:line="220" w:lineRule="exact"/>
              <w:jc w:val="center"/>
              <w:rPr>
                <w:rFonts w:ascii="宋体" w:hAnsi="宋体" w:cs="宋体"/>
                <w:b/>
                <w:bCs/>
                <w:kern w:val="0"/>
                <w:szCs w:val="21"/>
              </w:rPr>
            </w:pPr>
            <w:r>
              <w:rPr>
                <w:rFonts w:hint="eastAsia" w:ascii="宋体" w:hAnsi="宋体" w:cs="宋体"/>
                <w:b/>
                <w:bCs/>
                <w:kern w:val="0"/>
                <w:szCs w:val="21"/>
              </w:rPr>
              <w:t>数</w:t>
            </w:r>
          </w:p>
        </w:tc>
        <w:tc>
          <w:tcPr>
            <w:tcW w:w="5638" w:type="dxa"/>
            <w:gridSpan w:val="4"/>
            <w:noWrap w:val="0"/>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岗位要求</w:t>
            </w:r>
          </w:p>
        </w:tc>
        <w:tc>
          <w:tcPr>
            <w:tcW w:w="2086" w:type="dxa"/>
            <w:vMerge w:val="restart"/>
            <w:noWrap w:val="0"/>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岗位主要职责</w:t>
            </w:r>
          </w:p>
        </w:tc>
        <w:tc>
          <w:tcPr>
            <w:tcW w:w="3073" w:type="dxa"/>
            <w:vMerge w:val="restart"/>
            <w:noWrap w:val="0"/>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任务目标</w:t>
            </w:r>
          </w:p>
        </w:tc>
        <w:tc>
          <w:tcPr>
            <w:tcW w:w="1219" w:type="dxa"/>
            <w:vMerge w:val="restart"/>
            <w:noWrap w:val="0"/>
            <w:vAlign w:val="center"/>
          </w:tcPr>
          <w:p>
            <w:pPr>
              <w:widowControl/>
              <w:spacing w:line="260" w:lineRule="exact"/>
              <w:jc w:val="center"/>
              <w:rPr>
                <w:rFonts w:hint="eastAsia" w:ascii="宋体" w:hAnsi="宋体" w:cs="宋体"/>
                <w:b/>
                <w:bCs/>
                <w:kern w:val="0"/>
                <w:szCs w:val="21"/>
              </w:rPr>
            </w:pPr>
            <w:r>
              <w:rPr>
                <w:rFonts w:hint="eastAsia" w:ascii="宋体" w:hAnsi="宋体" w:cs="宋体"/>
                <w:b/>
                <w:bCs/>
                <w:kern w:val="0"/>
                <w:szCs w:val="21"/>
              </w:rPr>
              <w:t>指导薪酬</w:t>
            </w:r>
          </w:p>
          <w:p>
            <w:pPr>
              <w:widowControl/>
              <w:spacing w:line="260" w:lineRule="exact"/>
              <w:jc w:val="center"/>
              <w:rPr>
                <w:rFonts w:ascii="宋体" w:hAnsi="宋体" w:cs="宋体"/>
                <w:b/>
                <w:bCs/>
                <w:kern w:val="0"/>
                <w:szCs w:val="21"/>
              </w:rPr>
            </w:pPr>
            <w:r>
              <w:rPr>
                <w:rFonts w:hint="eastAsia" w:ascii="宋体" w:hAnsi="宋体" w:cs="宋体"/>
                <w:b/>
                <w:bCs/>
                <w:kern w:val="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3" w:type="dxa"/>
            <w:vMerge w:val="continue"/>
            <w:noWrap w:val="0"/>
            <w:vAlign w:val="center"/>
          </w:tcPr>
          <w:p>
            <w:pPr>
              <w:spacing w:line="600" w:lineRule="exact"/>
              <w:rPr>
                <w:rFonts w:ascii="宋体" w:hAnsi="宋体" w:eastAsia="方正小标宋简体" w:cs="宋体"/>
                <w:kern w:val="0"/>
                <w:sz w:val="44"/>
                <w:szCs w:val="44"/>
              </w:rPr>
            </w:pPr>
          </w:p>
        </w:tc>
        <w:tc>
          <w:tcPr>
            <w:tcW w:w="980" w:type="dxa"/>
            <w:vMerge w:val="continue"/>
            <w:noWrap w:val="0"/>
            <w:vAlign w:val="center"/>
          </w:tcPr>
          <w:p>
            <w:pPr>
              <w:spacing w:line="600" w:lineRule="exact"/>
              <w:rPr>
                <w:rFonts w:ascii="宋体" w:hAnsi="宋体" w:eastAsia="方正小标宋简体" w:cs="宋体"/>
                <w:kern w:val="0"/>
                <w:sz w:val="44"/>
                <w:szCs w:val="44"/>
              </w:rPr>
            </w:pPr>
          </w:p>
        </w:tc>
        <w:tc>
          <w:tcPr>
            <w:tcW w:w="755" w:type="dxa"/>
            <w:vMerge w:val="continue"/>
            <w:noWrap w:val="0"/>
            <w:vAlign w:val="center"/>
          </w:tcPr>
          <w:p>
            <w:pPr>
              <w:spacing w:line="600" w:lineRule="exact"/>
              <w:rPr>
                <w:rFonts w:ascii="宋体" w:hAnsi="宋体" w:eastAsia="方正小标宋简体" w:cs="宋体"/>
                <w:kern w:val="0"/>
                <w:sz w:val="44"/>
                <w:szCs w:val="44"/>
              </w:rPr>
            </w:pPr>
          </w:p>
        </w:tc>
        <w:tc>
          <w:tcPr>
            <w:tcW w:w="533" w:type="dxa"/>
            <w:vMerge w:val="continue"/>
            <w:noWrap w:val="0"/>
            <w:vAlign w:val="center"/>
          </w:tcPr>
          <w:p>
            <w:pPr>
              <w:spacing w:line="600" w:lineRule="exact"/>
              <w:rPr>
                <w:rFonts w:ascii="宋体" w:hAnsi="宋体" w:eastAsia="方正小标宋简体" w:cs="宋体"/>
                <w:kern w:val="0"/>
                <w:sz w:val="44"/>
                <w:szCs w:val="44"/>
              </w:rPr>
            </w:pPr>
          </w:p>
        </w:tc>
        <w:tc>
          <w:tcPr>
            <w:tcW w:w="703" w:type="dxa"/>
            <w:noWrap w:val="0"/>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年龄</w:t>
            </w:r>
          </w:p>
        </w:tc>
        <w:tc>
          <w:tcPr>
            <w:tcW w:w="866" w:type="dxa"/>
            <w:noWrap w:val="0"/>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学历</w:t>
            </w:r>
          </w:p>
        </w:tc>
        <w:tc>
          <w:tcPr>
            <w:tcW w:w="1161" w:type="dxa"/>
            <w:noWrap w:val="0"/>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专业</w:t>
            </w:r>
          </w:p>
        </w:tc>
        <w:tc>
          <w:tcPr>
            <w:tcW w:w="2908" w:type="dxa"/>
            <w:noWrap w:val="0"/>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其他</w:t>
            </w:r>
          </w:p>
        </w:tc>
        <w:tc>
          <w:tcPr>
            <w:tcW w:w="2086" w:type="dxa"/>
            <w:vMerge w:val="continue"/>
            <w:noWrap w:val="0"/>
            <w:vAlign w:val="center"/>
          </w:tcPr>
          <w:p>
            <w:pPr>
              <w:spacing w:line="600" w:lineRule="exact"/>
              <w:rPr>
                <w:rFonts w:ascii="宋体" w:hAnsi="宋体" w:eastAsia="方正小标宋简体" w:cs="宋体"/>
                <w:kern w:val="0"/>
                <w:sz w:val="44"/>
                <w:szCs w:val="44"/>
              </w:rPr>
            </w:pPr>
          </w:p>
        </w:tc>
        <w:tc>
          <w:tcPr>
            <w:tcW w:w="3073" w:type="dxa"/>
            <w:vMerge w:val="continue"/>
            <w:noWrap w:val="0"/>
            <w:vAlign w:val="center"/>
          </w:tcPr>
          <w:p>
            <w:pPr>
              <w:spacing w:line="600" w:lineRule="exact"/>
              <w:rPr>
                <w:rFonts w:ascii="宋体" w:hAnsi="宋体" w:eastAsia="方正小标宋简体" w:cs="宋体"/>
                <w:kern w:val="0"/>
                <w:sz w:val="44"/>
                <w:szCs w:val="44"/>
              </w:rPr>
            </w:pPr>
          </w:p>
        </w:tc>
        <w:tc>
          <w:tcPr>
            <w:tcW w:w="1219" w:type="dxa"/>
            <w:vMerge w:val="continue"/>
            <w:noWrap w:val="0"/>
            <w:vAlign w:val="center"/>
          </w:tcPr>
          <w:p>
            <w:pPr>
              <w:spacing w:line="600" w:lineRule="exact"/>
              <w:rPr>
                <w:rFonts w:ascii="宋体" w:hAnsi="宋体" w:eastAsia="方正小标宋简体" w:cs="宋体"/>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jc w:val="center"/>
        </w:trPr>
        <w:tc>
          <w:tcPr>
            <w:tcW w:w="6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980"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赣州市大数据发展管理局</w:t>
            </w:r>
          </w:p>
        </w:tc>
        <w:tc>
          <w:tcPr>
            <w:tcW w:w="755" w:type="dxa"/>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数据资源四级高级主管</w:t>
            </w:r>
          </w:p>
        </w:tc>
        <w:tc>
          <w:tcPr>
            <w:tcW w:w="5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1名</w:t>
            </w:r>
          </w:p>
        </w:tc>
        <w:tc>
          <w:tcPr>
            <w:tcW w:w="703"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45周岁以下</w:t>
            </w:r>
          </w:p>
        </w:tc>
        <w:tc>
          <w:tcPr>
            <w:tcW w:w="866"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kern w:val="0"/>
                <w:szCs w:val="21"/>
              </w:rPr>
              <w:t>博士研究生学历、学位</w:t>
            </w:r>
          </w:p>
        </w:tc>
        <w:tc>
          <w:tcPr>
            <w:tcW w:w="1161"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本科及研究生期间至少一个主修专业为计算机类专业</w:t>
            </w:r>
          </w:p>
        </w:tc>
        <w:tc>
          <w:tcPr>
            <w:tcW w:w="2908" w:type="dxa"/>
            <w:noWrap w:val="0"/>
            <w:vAlign w:val="center"/>
          </w:tcPr>
          <w:p>
            <w:pPr>
              <w:widowControl/>
              <w:spacing w:line="26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具有扎实的大数据产业理论基础和敏锐的大数据产业研究能力；具备国内外大数据知名咨询机构或智库3年以上工作经验，或具备前沿大数据产业相关企业研发、管理3年以上工作经验；具备丰富的项目开发与项目管理经验，担任过企业、咨询机构中层以上职务；</w:t>
            </w:r>
          </w:p>
          <w:p>
            <w:pPr>
              <w:widowControl/>
              <w:spacing w:line="2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2.特别优秀的可以适当放宽学历、学位要求。</w:t>
            </w:r>
          </w:p>
        </w:tc>
        <w:tc>
          <w:tcPr>
            <w:tcW w:w="2086" w:type="dxa"/>
            <w:noWrap w:val="0"/>
            <w:vAlign w:val="center"/>
          </w:tcPr>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1.牵头推进数据资源相关重点项目攻关；</w:t>
            </w:r>
          </w:p>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2.负责推动全市大数据等数字产业发展；</w:t>
            </w:r>
          </w:p>
          <w:p>
            <w:pPr>
              <w:widowControl/>
              <w:spacing w:line="260" w:lineRule="exact"/>
              <w:ind w:firstLine="420" w:firstLineChars="200"/>
              <w:rPr>
                <w:rFonts w:ascii="宋体" w:hAnsi="宋体" w:cs="宋体"/>
                <w:color w:val="000000"/>
                <w:kern w:val="0"/>
                <w:szCs w:val="21"/>
              </w:rPr>
            </w:pPr>
            <w:r>
              <w:rPr>
                <w:rFonts w:hint="eastAsia" w:ascii="宋体" w:hAnsi="宋体" w:cs="宋体"/>
                <w:color w:val="000000"/>
                <w:kern w:val="0"/>
                <w:szCs w:val="21"/>
              </w:rPr>
              <w:t>3.负责推动新型智慧城市建设。</w:t>
            </w:r>
          </w:p>
        </w:tc>
        <w:tc>
          <w:tcPr>
            <w:tcW w:w="3073" w:type="dxa"/>
            <w:noWrap w:val="0"/>
            <w:vAlign w:val="center"/>
          </w:tcPr>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1.推动2年内建成赣州市“城市大脑”；</w:t>
            </w:r>
          </w:p>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2.全市数字产业发展达到一定的规模；</w:t>
            </w:r>
          </w:p>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3.家具、服装、稀金产业大数据平台达到国内领先水平</w:t>
            </w:r>
            <w:r>
              <w:rPr>
                <w:rFonts w:hint="eastAsia" w:ascii="宋体" w:hAnsi="宋体" w:cs="宋体"/>
                <w:kern w:val="0"/>
                <w:szCs w:val="21"/>
              </w:rPr>
              <w:t>；</w:t>
            </w:r>
          </w:p>
          <w:p>
            <w:pPr>
              <w:widowControl/>
              <w:spacing w:line="260" w:lineRule="exact"/>
              <w:ind w:firstLine="420" w:firstLineChars="200"/>
              <w:rPr>
                <w:rFonts w:ascii="宋体" w:hAnsi="宋体" w:cs="宋体"/>
                <w:color w:val="000000"/>
                <w:kern w:val="0"/>
                <w:szCs w:val="21"/>
              </w:rPr>
            </w:pPr>
            <w:r>
              <w:rPr>
                <w:rFonts w:hint="eastAsia" w:ascii="宋体" w:hAnsi="宋体" w:cs="宋体"/>
                <w:color w:val="000000"/>
                <w:kern w:val="0"/>
                <w:szCs w:val="21"/>
              </w:rPr>
              <w:t>4.引进1家及以上国家部委在我市设立数据备份中心或区域性大数据应用中心。</w:t>
            </w:r>
          </w:p>
        </w:tc>
        <w:tc>
          <w:tcPr>
            <w:tcW w:w="1219"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jc w:val="center"/>
        </w:trPr>
        <w:tc>
          <w:tcPr>
            <w:tcW w:w="6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980"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赣州市卫生健康委员会</w:t>
            </w:r>
          </w:p>
        </w:tc>
        <w:tc>
          <w:tcPr>
            <w:tcW w:w="755" w:type="dxa"/>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四级高级主管</w:t>
            </w:r>
          </w:p>
        </w:tc>
        <w:tc>
          <w:tcPr>
            <w:tcW w:w="5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1名</w:t>
            </w:r>
          </w:p>
        </w:tc>
        <w:tc>
          <w:tcPr>
            <w:tcW w:w="703" w:type="dxa"/>
            <w:noWrap w:val="0"/>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45</w:t>
            </w:r>
            <w:r>
              <w:rPr>
                <w:rFonts w:hint="eastAsia" w:ascii="宋体" w:hAnsi="宋体" w:cs="宋体"/>
                <w:kern w:val="0"/>
                <w:sz w:val="24"/>
              </w:rPr>
              <w:t>周岁以下</w:t>
            </w:r>
          </w:p>
        </w:tc>
        <w:tc>
          <w:tcPr>
            <w:tcW w:w="866" w:type="dxa"/>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硕士研究生及以上学历、学位</w:t>
            </w:r>
          </w:p>
        </w:tc>
        <w:tc>
          <w:tcPr>
            <w:tcW w:w="1161" w:type="dxa"/>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药学类、医学类专业</w:t>
            </w:r>
          </w:p>
        </w:tc>
        <w:tc>
          <w:tcPr>
            <w:tcW w:w="2908" w:type="dxa"/>
            <w:noWrap w:val="0"/>
            <w:vAlign w:val="center"/>
          </w:tcPr>
          <w:p>
            <w:pPr>
              <w:widowControl/>
              <w:spacing w:line="26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1.在大型药企（年营业额10亿元以上）担任企业负责人3年以上。</w:t>
            </w:r>
          </w:p>
          <w:p>
            <w:pPr>
              <w:widowControl/>
              <w:spacing w:line="26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2.在大型药企（年营业额10亿元以上）担任生产、经营、销售部门负责人3年以上。</w:t>
            </w:r>
          </w:p>
        </w:tc>
        <w:tc>
          <w:tcPr>
            <w:tcW w:w="2086" w:type="dxa"/>
            <w:noWrap w:val="0"/>
            <w:vAlign w:val="center"/>
          </w:tcPr>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1.指导青峰药谷的发展,负责青峰药谷产业规划及项目落地服务；</w:t>
            </w:r>
          </w:p>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2.研究制定全市生物医药及大健康产业发展政策；</w:t>
            </w:r>
          </w:p>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3.贯彻落实国家药物政策和国家基本药物制度。</w:t>
            </w:r>
          </w:p>
        </w:tc>
        <w:tc>
          <w:tcPr>
            <w:tcW w:w="3073" w:type="dxa"/>
            <w:noWrap w:val="0"/>
            <w:vAlign w:val="center"/>
          </w:tcPr>
          <w:p>
            <w:pPr>
              <w:widowControl/>
              <w:spacing w:line="26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1.牵头推进青峰药谷医药融合发展，基本搭建成熟的集药材种植、生产研发、医药物流一体的产业链；</w:t>
            </w:r>
          </w:p>
          <w:p>
            <w:pPr>
              <w:widowControl/>
              <w:spacing w:line="26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2.牵头推进全市康养产业发展，做大做响青峰药谷康养旅游产业，推动章贡区成为全市康</w:t>
            </w:r>
            <w:r>
              <w:rPr>
                <w:rFonts w:hint="eastAsia" w:ascii="宋体" w:hAnsi="宋体" w:cs="宋体"/>
                <w:kern w:val="0"/>
                <w:szCs w:val="21"/>
              </w:rPr>
              <w:t>养</w:t>
            </w:r>
            <w:r>
              <w:rPr>
                <w:rFonts w:hint="eastAsia" w:ascii="宋体" w:hAnsi="宋体" w:cs="宋体"/>
                <w:color w:val="000000"/>
                <w:kern w:val="0"/>
                <w:szCs w:val="21"/>
              </w:rPr>
              <w:t>产业尖兵。</w:t>
            </w:r>
          </w:p>
        </w:tc>
        <w:tc>
          <w:tcPr>
            <w:tcW w:w="1219" w:type="dxa"/>
            <w:noWrap w:val="0"/>
            <w:vAlign w:val="center"/>
          </w:tcPr>
          <w:p>
            <w:pPr>
              <w:widowControl/>
              <w:spacing w:line="260" w:lineRule="exact"/>
              <w:ind w:right="-101" w:rightChars="-48"/>
              <w:jc w:val="center"/>
              <w:rPr>
                <w:rFonts w:ascii="宋体" w:hAnsi="宋体" w:cs="宋体"/>
                <w:color w:val="000000"/>
                <w:kern w:val="0"/>
                <w:szCs w:val="21"/>
              </w:rPr>
            </w:pPr>
            <w:r>
              <w:rPr>
                <w:rFonts w:hint="eastAsia" w:ascii="宋体" w:hAnsi="宋体" w:cs="宋体"/>
                <w:color w:val="000000"/>
                <w:kern w:val="0"/>
                <w:szCs w:val="21"/>
              </w:rPr>
              <w:t>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6" w:hRule="atLeast"/>
          <w:jc w:val="center"/>
        </w:trPr>
        <w:tc>
          <w:tcPr>
            <w:tcW w:w="6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980"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赣州经济技术开发区管理委员会</w:t>
            </w:r>
          </w:p>
        </w:tc>
        <w:tc>
          <w:tcPr>
            <w:tcW w:w="75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赣州综合保税区管理委员会保税业务一级主管</w:t>
            </w:r>
          </w:p>
        </w:tc>
        <w:tc>
          <w:tcPr>
            <w:tcW w:w="5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1名</w:t>
            </w:r>
          </w:p>
        </w:tc>
        <w:tc>
          <w:tcPr>
            <w:tcW w:w="703"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40周岁以下</w:t>
            </w:r>
          </w:p>
        </w:tc>
        <w:tc>
          <w:tcPr>
            <w:tcW w:w="866"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全日制硕士研究生及以上学历、学位</w:t>
            </w:r>
          </w:p>
        </w:tc>
        <w:tc>
          <w:tcPr>
            <w:tcW w:w="1161" w:type="dxa"/>
            <w:noWrap w:val="0"/>
            <w:vAlign w:val="center"/>
          </w:tcPr>
          <w:p>
            <w:pPr>
              <w:widowControl/>
              <w:spacing w:line="260" w:lineRule="exact"/>
              <w:jc w:val="center"/>
              <w:rPr>
                <w:rFonts w:hint="eastAsia" w:ascii="宋体" w:hAnsi="宋体" w:cs="宋体"/>
                <w:color w:val="000000"/>
                <w:kern w:val="0"/>
                <w:szCs w:val="21"/>
              </w:rPr>
            </w:pPr>
            <w:r>
              <w:rPr>
                <w:rFonts w:hint="eastAsia" w:ascii="宋体" w:hAnsi="宋体" w:cs="宋体"/>
                <w:kern w:val="0"/>
                <w:szCs w:val="21"/>
              </w:rPr>
              <w:t>经济与贸易类相关专业</w:t>
            </w:r>
          </w:p>
        </w:tc>
        <w:tc>
          <w:tcPr>
            <w:tcW w:w="2908" w:type="dxa"/>
            <w:noWrap w:val="0"/>
            <w:vAlign w:val="center"/>
          </w:tcPr>
          <w:p>
            <w:pPr>
              <w:widowControl/>
              <w:spacing w:line="2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从事经济业务工作，具有3年以上海关特殊监管区域、自贸区管理机构、园区开发平台高级管理层任职经历；或从事开放型经济研究，具有3年以上开放型经济研究咨询机构高级管理层任职经历；或具有3年以上在上海、天津、深圳、广州等沿海自贸区规上企业管理经验或沿海上市公司高管工作经历者，学历可适当放宽至全日制本科以上学历、学位；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2.熟悉国家对外贸易方针和监管政策，具有较强的产业研究、项目推进和沟通能力；熟悉国际贸易业务和规则，熟悉保税业务和操作，熟悉国际商务运行规则；</w:t>
            </w:r>
          </w:p>
          <w:p>
            <w:pPr>
              <w:widowControl/>
              <w:spacing w:line="2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3.团队协作能力和职业道德好，有较强的执行力和创新精神。</w:t>
            </w:r>
          </w:p>
        </w:tc>
        <w:tc>
          <w:tcPr>
            <w:tcW w:w="2086" w:type="dxa"/>
            <w:noWrap w:val="0"/>
            <w:vAlign w:val="center"/>
          </w:tcPr>
          <w:p>
            <w:pPr>
              <w:widowControl/>
              <w:spacing w:line="240" w:lineRule="exact"/>
              <w:ind w:firstLine="420" w:firstLineChars="200"/>
              <w:rPr>
                <w:rFonts w:ascii="宋体" w:hAnsi="宋体" w:cs="宋体"/>
                <w:color w:val="000000"/>
                <w:kern w:val="0"/>
                <w:szCs w:val="21"/>
              </w:rPr>
            </w:pPr>
            <w:r>
              <w:rPr>
                <w:rFonts w:hint="eastAsia" w:ascii="宋体" w:hAnsi="宋体" w:cs="宋体"/>
                <w:color w:val="000000"/>
                <w:kern w:val="0"/>
                <w:szCs w:val="21"/>
              </w:rPr>
              <w:t>1.探索构建高水平对外开放的规则体系和制度框架，结合实际进行制度创新、路径设计、功能拓展，总结推广创新经验和做法；</w:t>
            </w:r>
            <w:r>
              <w:rPr>
                <w:rFonts w:hint="eastAsia" w:ascii="宋体" w:hAnsi="宋体" w:cs="宋体"/>
                <w:color w:val="000000"/>
                <w:kern w:val="0"/>
                <w:szCs w:val="21"/>
              </w:rPr>
              <w:br w:type="textWrapping"/>
            </w:r>
            <w:r>
              <w:rPr>
                <w:rFonts w:hint="eastAsia" w:ascii="宋体" w:hAnsi="宋体" w:cs="宋体"/>
                <w:color w:val="000000"/>
                <w:kern w:val="0"/>
                <w:szCs w:val="21"/>
              </w:rPr>
              <w:t xml:space="preserve">    2.研判综合保税区经济运行和发展形势，推动综合改革、投资、贸易、人才等政策制度创新；</w:t>
            </w:r>
            <w:r>
              <w:rPr>
                <w:rFonts w:hint="eastAsia" w:ascii="宋体" w:hAnsi="宋体" w:cs="宋体"/>
                <w:color w:val="000000"/>
                <w:kern w:val="0"/>
                <w:szCs w:val="21"/>
              </w:rPr>
              <w:br w:type="textWrapping"/>
            </w:r>
            <w:r>
              <w:rPr>
                <w:rFonts w:hint="eastAsia" w:ascii="宋体" w:hAnsi="宋体" w:cs="宋体"/>
                <w:color w:val="000000"/>
                <w:kern w:val="0"/>
                <w:szCs w:val="21"/>
              </w:rPr>
              <w:t xml:space="preserve">    3.承担综合保税区投资促进政策研究分析和工作协调；</w:t>
            </w:r>
            <w:r>
              <w:rPr>
                <w:rFonts w:hint="eastAsia" w:ascii="宋体" w:hAnsi="宋体" w:cs="宋体"/>
                <w:color w:val="000000"/>
                <w:kern w:val="0"/>
                <w:szCs w:val="21"/>
              </w:rPr>
              <w:br w:type="textWrapping"/>
            </w:r>
            <w:r>
              <w:rPr>
                <w:rFonts w:hint="eastAsia" w:ascii="宋体" w:hAnsi="宋体" w:cs="宋体"/>
                <w:color w:val="000000"/>
                <w:kern w:val="0"/>
                <w:szCs w:val="21"/>
              </w:rPr>
              <w:t xml:space="preserve">    4.结合综合保税区改革开放创新中的难点热点问题，进行课题研究，提出发展思路和对策建议。</w:t>
            </w:r>
          </w:p>
        </w:tc>
        <w:tc>
          <w:tcPr>
            <w:tcW w:w="3073" w:type="dxa"/>
            <w:noWrap w:val="0"/>
            <w:vAlign w:val="center"/>
          </w:tcPr>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协助编制赣州综合保税区中长期产业发展规划；争取1个国家级进境维修、功能性口岸等政策试点，推动园区产业优化升级；基本建成2个以上电子信息、跨境电商及其配套产业集群；推动“晶圆+IC设计检测封装+模组+智能终端+维修再制造”电子信息产业生态链基本建成。</w:t>
            </w:r>
          </w:p>
        </w:tc>
        <w:tc>
          <w:tcPr>
            <w:tcW w:w="1219"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6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980"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赣州经济技术开发区管理委员会</w:t>
            </w:r>
          </w:p>
        </w:tc>
        <w:tc>
          <w:tcPr>
            <w:tcW w:w="75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新能源汽车发展办公室一级主管</w:t>
            </w:r>
          </w:p>
        </w:tc>
        <w:tc>
          <w:tcPr>
            <w:tcW w:w="5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1名</w:t>
            </w:r>
          </w:p>
        </w:tc>
        <w:tc>
          <w:tcPr>
            <w:tcW w:w="703"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40周岁以下</w:t>
            </w:r>
          </w:p>
        </w:tc>
        <w:tc>
          <w:tcPr>
            <w:tcW w:w="866"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全日制硕士研究生及以上学历、学位</w:t>
            </w:r>
          </w:p>
        </w:tc>
        <w:tc>
          <w:tcPr>
            <w:tcW w:w="1161" w:type="dxa"/>
            <w:noWrap w:val="0"/>
            <w:vAlign w:val="center"/>
          </w:tcPr>
          <w:p>
            <w:pPr>
              <w:widowControl/>
              <w:spacing w:line="260" w:lineRule="exact"/>
              <w:jc w:val="left"/>
              <w:rPr>
                <w:rFonts w:hint="eastAsia" w:ascii="宋体" w:hAnsi="宋体" w:cs="宋体"/>
                <w:color w:val="000000"/>
                <w:kern w:val="0"/>
                <w:szCs w:val="21"/>
              </w:rPr>
            </w:pPr>
            <w:r>
              <w:rPr>
                <w:rFonts w:hint="eastAsia" w:ascii="宋体" w:hAnsi="宋体" w:cs="宋体"/>
                <w:kern w:val="0"/>
                <w:szCs w:val="21"/>
              </w:rPr>
              <w:t>本科及研究生均毕业于机械电子类、能源动力类相关专业，本科毕业于“98</w:t>
            </w:r>
            <w:r>
              <w:rPr>
                <w:rFonts w:hint="eastAsia" w:ascii="宋体" w:hAnsi="宋体" w:cs="宋体"/>
                <w:color w:val="000000"/>
                <w:kern w:val="0"/>
                <w:szCs w:val="21"/>
              </w:rPr>
              <w:t>5”、“211”、“双一流”高校车辆工程专业者优先。</w:t>
            </w:r>
          </w:p>
        </w:tc>
        <w:tc>
          <w:tcPr>
            <w:tcW w:w="2908" w:type="dxa"/>
            <w:noWrap w:val="0"/>
            <w:vAlign w:val="center"/>
          </w:tcPr>
          <w:p>
            <w:pPr>
              <w:widowControl/>
              <w:spacing w:line="23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1.具有政府汽车产业职能部门、汽车产业研究咨询机构、大中型整车企业、外资或合资汽车行业相关企业5年以上工作经历，其中3年以上管理层任职经历；</w:t>
            </w:r>
          </w:p>
          <w:p>
            <w:pPr>
              <w:widowControl/>
              <w:spacing w:line="23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2.具有扎实的新能源汽车产业理论基础和敏锐的产业研究能力，熟悉国内外新能源汽车产业发展情况和汽车行业政策法规，具备较好的沟通和组织协调能力；</w:t>
            </w:r>
            <w:r>
              <w:rPr>
                <w:rFonts w:hint="eastAsia" w:ascii="宋体" w:hAnsi="宋体" w:cs="宋体"/>
                <w:color w:val="000000"/>
                <w:kern w:val="0"/>
                <w:szCs w:val="21"/>
              </w:rPr>
              <w:br w:type="textWrapping"/>
            </w:r>
            <w:r>
              <w:rPr>
                <w:rFonts w:hint="eastAsia" w:ascii="宋体" w:hAnsi="宋体" w:cs="宋体"/>
                <w:color w:val="000000"/>
                <w:kern w:val="0"/>
                <w:szCs w:val="21"/>
              </w:rPr>
              <w:t xml:space="preserve">    3.有海外相关专业学习和从业经历者优先，特别优秀者，可以适当放宽年龄、学历条件。</w:t>
            </w:r>
          </w:p>
        </w:tc>
        <w:tc>
          <w:tcPr>
            <w:tcW w:w="2086" w:type="dxa"/>
            <w:noWrap w:val="0"/>
            <w:vAlign w:val="center"/>
          </w:tcPr>
          <w:p>
            <w:pPr>
              <w:widowControl/>
              <w:spacing w:line="260" w:lineRule="exact"/>
              <w:ind w:firstLine="420" w:firstLineChars="200"/>
              <w:rPr>
                <w:rFonts w:ascii="宋体" w:hAnsi="宋体" w:cs="宋体"/>
                <w:color w:val="000000"/>
                <w:kern w:val="0"/>
                <w:szCs w:val="21"/>
              </w:rPr>
            </w:pPr>
            <w:r>
              <w:rPr>
                <w:rFonts w:hint="eastAsia" w:ascii="宋体" w:hAnsi="宋体" w:cs="宋体"/>
                <w:color w:val="000000"/>
                <w:kern w:val="0"/>
                <w:szCs w:val="21"/>
              </w:rPr>
              <w:t>1.负责研究提出新能源汽车产业发展规划和政策；</w:t>
            </w:r>
            <w:r>
              <w:rPr>
                <w:rFonts w:hint="eastAsia" w:ascii="宋体" w:hAnsi="宋体" w:cs="宋体"/>
                <w:color w:val="000000"/>
                <w:kern w:val="0"/>
                <w:szCs w:val="21"/>
              </w:rPr>
              <w:br w:type="textWrapping"/>
            </w:r>
            <w:r>
              <w:rPr>
                <w:rFonts w:hint="eastAsia" w:ascii="宋体" w:hAnsi="宋体" w:cs="宋体"/>
                <w:color w:val="000000"/>
                <w:kern w:val="0"/>
                <w:szCs w:val="21"/>
              </w:rPr>
              <w:t xml:space="preserve">    2.负责推进研究机构、检测中心等汽车产业服务平台建设；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3.参与新能源汽车重大招商项目研判、引进和管理，推进赣州新能源汽车科技城创新体系建设。</w:t>
            </w:r>
          </w:p>
        </w:tc>
        <w:tc>
          <w:tcPr>
            <w:tcW w:w="3073" w:type="dxa"/>
            <w:noWrap w:val="0"/>
            <w:vAlign w:val="center"/>
          </w:tcPr>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在3年的时间内，完成赣州经开区新能源汽车产业发展规划的重新编制；区内建成2个以上省级新能源汽车研发、检测平台；全面构建赣州新能源汽车科技城创新体系；全区“整车+零部件+研发+检测+汽车文化”的新能源汽车产业生态链基本建成。</w:t>
            </w:r>
          </w:p>
        </w:tc>
        <w:tc>
          <w:tcPr>
            <w:tcW w:w="1219"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6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980"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赣州经济技术开发区管理委员会</w:t>
            </w:r>
          </w:p>
        </w:tc>
        <w:tc>
          <w:tcPr>
            <w:tcW w:w="75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企业服务和工信局一级主管</w:t>
            </w:r>
          </w:p>
        </w:tc>
        <w:tc>
          <w:tcPr>
            <w:tcW w:w="5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1名</w:t>
            </w:r>
          </w:p>
        </w:tc>
        <w:tc>
          <w:tcPr>
            <w:tcW w:w="703"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40周岁以下</w:t>
            </w:r>
          </w:p>
        </w:tc>
        <w:tc>
          <w:tcPr>
            <w:tcW w:w="866"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全日制硕士研究生及以上学历、学位</w:t>
            </w:r>
          </w:p>
        </w:tc>
        <w:tc>
          <w:tcPr>
            <w:tcW w:w="1161"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计算机类、机械电子类、半导体材料等相关专业</w:t>
            </w:r>
          </w:p>
        </w:tc>
        <w:tc>
          <w:tcPr>
            <w:tcW w:w="2908" w:type="dxa"/>
            <w:noWrap w:val="0"/>
            <w:vAlign w:val="center"/>
          </w:tcPr>
          <w:p>
            <w:pPr>
              <w:widowControl/>
              <w:spacing w:line="23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1.具有扎实的电子信息产业理论基础和前沿知识（如信息工程技术、人工智能、半导体产业、电子芯片、网络安全、大数据等领域），具备较强的产业研究能力；</w:t>
            </w:r>
            <w:r>
              <w:rPr>
                <w:rFonts w:hint="eastAsia" w:ascii="宋体" w:hAnsi="宋体" w:cs="宋体"/>
                <w:color w:val="000000"/>
                <w:kern w:val="0"/>
                <w:szCs w:val="21"/>
              </w:rPr>
              <w:br w:type="textWrapping"/>
            </w:r>
            <w:r>
              <w:rPr>
                <w:rFonts w:hint="eastAsia" w:ascii="宋体" w:hAnsi="宋体" w:cs="宋体"/>
                <w:color w:val="000000"/>
                <w:kern w:val="0"/>
                <w:szCs w:val="21"/>
              </w:rPr>
              <w:t xml:space="preserve">    2.具备知名大中型企业、研究平台5年以上电子信息、人工智能等行业研发、管理工作经验，具备丰富的项目开发与管理工作经验，具备较强的协调能力；</w:t>
            </w:r>
            <w:r>
              <w:rPr>
                <w:rFonts w:hint="eastAsia" w:ascii="宋体" w:hAnsi="宋体" w:cs="宋体"/>
                <w:color w:val="000000"/>
                <w:kern w:val="0"/>
                <w:szCs w:val="21"/>
              </w:rPr>
              <w:br w:type="textWrapping"/>
            </w:r>
            <w:r>
              <w:rPr>
                <w:rFonts w:hint="eastAsia" w:ascii="宋体" w:hAnsi="宋体" w:cs="宋体"/>
                <w:color w:val="000000"/>
                <w:kern w:val="0"/>
                <w:szCs w:val="21"/>
              </w:rPr>
              <w:t xml:space="preserve">    3.有海外相关专业学习和从业经历者优先，特别优秀者，可以适当放宽年龄、学历条件。</w:t>
            </w:r>
          </w:p>
        </w:tc>
        <w:tc>
          <w:tcPr>
            <w:tcW w:w="2086" w:type="dxa"/>
            <w:noWrap w:val="0"/>
            <w:vAlign w:val="center"/>
          </w:tcPr>
          <w:p>
            <w:pPr>
              <w:widowControl/>
              <w:spacing w:line="260" w:lineRule="exact"/>
              <w:ind w:firstLine="420" w:firstLineChars="200"/>
              <w:rPr>
                <w:rFonts w:ascii="宋体" w:hAnsi="宋体" w:cs="宋体"/>
                <w:color w:val="000000"/>
                <w:kern w:val="0"/>
                <w:szCs w:val="21"/>
              </w:rPr>
            </w:pPr>
            <w:r>
              <w:rPr>
                <w:rFonts w:hint="eastAsia" w:ascii="宋体" w:hAnsi="宋体" w:cs="宋体"/>
                <w:color w:val="000000"/>
                <w:kern w:val="0"/>
                <w:szCs w:val="21"/>
              </w:rPr>
              <w:t>1.负责参与制定电子信息产业整体规划，分析行业动态；</w:t>
            </w:r>
            <w:r>
              <w:rPr>
                <w:rFonts w:hint="eastAsia" w:ascii="宋体" w:hAnsi="宋体" w:cs="宋体"/>
                <w:color w:val="000000"/>
                <w:kern w:val="0"/>
                <w:szCs w:val="21"/>
              </w:rPr>
              <w:br w:type="textWrapping"/>
            </w:r>
            <w:r>
              <w:rPr>
                <w:rFonts w:hint="eastAsia" w:ascii="宋体" w:hAnsi="宋体" w:cs="宋体"/>
                <w:color w:val="000000"/>
                <w:kern w:val="0"/>
                <w:szCs w:val="21"/>
              </w:rPr>
              <w:t xml:space="preserve">    2.负责市场前瞻性研究工作；</w:t>
            </w:r>
            <w:r>
              <w:rPr>
                <w:rFonts w:hint="eastAsia" w:ascii="宋体" w:hAnsi="宋体" w:cs="宋体"/>
                <w:color w:val="000000"/>
                <w:kern w:val="0"/>
                <w:szCs w:val="21"/>
              </w:rPr>
              <w:br w:type="textWrapping"/>
            </w:r>
            <w:r>
              <w:rPr>
                <w:rFonts w:hint="eastAsia" w:ascii="宋体" w:hAnsi="宋体" w:cs="宋体"/>
                <w:color w:val="000000"/>
                <w:kern w:val="0"/>
                <w:szCs w:val="21"/>
              </w:rPr>
              <w:t xml:space="preserve">    3.负责指导电子信息产业园布局和项目实施，并参与评估和控制项目风险。</w:t>
            </w:r>
          </w:p>
        </w:tc>
        <w:tc>
          <w:tcPr>
            <w:tcW w:w="3073" w:type="dxa"/>
            <w:noWrap w:val="0"/>
            <w:vAlign w:val="center"/>
          </w:tcPr>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编制电子信息产业集群发展三年规划；搭建有利于电子信息人才培育和创新创业的各类平台，促进全区电子信息产业转型升级；做强做优电子信息产业，力争到2021年，形成以“半导体材料+IC设计+IC制造+封装测试+模组+汽车电子+整机”完整产业链，打造有影响力的产业集群。</w:t>
            </w:r>
          </w:p>
        </w:tc>
        <w:tc>
          <w:tcPr>
            <w:tcW w:w="1219"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980"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赣州高新技术产业开发区管理委员会</w:t>
            </w:r>
          </w:p>
        </w:tc>
        <w:tc>
          <w:tcPr>
            <w:tcW w:w="755"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电机产业园一级主管</w:t>
            </w:r>
          </w:p>
        </w:tc>
        <w:tc>
          <w:tcPr>
            <w:tcW w:w="533"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1名</w:t>
            </w:r>
          </w:p>
        </w:tc>
        <w:tc>
          <w:tcPr>
            <w:tcW w:w="703"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45周岁以下</w:t>
            </w:r>
          </w:p>
        </w:tc>
        <w:tc>
          <w:tcPr>
            <w:tcW w:w="866"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全日制硕士研究生及以上学历、学位</w:t>
            </w:r>
          </w:p>
        </w:tc>
        <w:tc>
          <w:tcPr>
            <w:tcW w:w="1161" w:type="dxa"/>
            <w:noWrap w:val="0"/>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本科及研究生期间至少一个主修专业为机械电子类专业</w:t>
            </w:r>
          </w:p>
        </w:tc>
        <w:tc>
          <w:tcPr>
            <w:tcW w:w="2908" w:type="dxa"/>
            <w:noWrap w:val="0"/>
            <w:vAlign w:val="center"/>
          </w:tcPr>
          <w:p>
            <w:pPr>
              <w:widowControl/>
              <w:spacing w:line="2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熟悉国内外先进地区电机产业发展、改革创新经验，主持撰写或参与制定地市以上重大政策制定、规划编制、课题研究或在国内外高校、科研机构、企事业单位从事相关工作3年以上,并任所从事与电机相关专业工作的主要负责人或具有高级专业技术职称；</w:t>
            </w:r>
            <w:r>
              <w:rPr>
                <w:rFonts w:hint="eastAsia" w:ascii="宋体" w:hAnsi="宋体" w:cs="宋体"/>
                <w:color w:val="000000"/>
                <w:kern w:val="0"/>
                <w:szCs w:val="21"/>
              </w:rPr>
              <w:br w:type="textWrapping"/>
            </w:r>
            <w:r>
              <w:rPr>
                <w:rFonts w:hint="eastAsia" w:ascii="宋体" w:hAnsi="宋体" w:cs="宋体"/>
                <w:color w:val="000000"/>
                <w:kern w:val="0"/>
                <w:szCs w:val="21"/>
              </w:rPr>
              <w:t xml:space="preserve">    2.具有较好的综合分析能力和文字表达能力；</w:t>
            </w:r>
          </w:p>
        </w:tc>
        <w:tc>
          <w:tcPr>
            <w:tcW w:w="2086" w:type="dxa"/>
            <w:noWrap w:val="0"/>
            <w:vAlign w:val="center"/>
          </w:tcPr>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1.牵头负责赣州高新区永磁电机及应用产业的发展布局，组织研究制定电机产业发展战略规划，推动我区稀土产业链向下游电机产业发展；</w:t>
            </w:r>
          </w:p>
          <w:p>
            <w:pPr>
              <w:widowControl/>
              <w:spacing w:line="2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2.协助企业引进、培养永磁电机及应用产业方面的优秀人才；</w:t>
            </w:r>
          </w:p>
          <w:p>
            <w:pPr>
              <w:widowControl/>
              <w:spacing w:line="260" w:lineRule="exact"/>
              <w:ind w:firstLine="420" w:firstLineChars="200"/>
              <w:rPr>
                <w:rFonts w:ascii="宋体" w:hAnsi="宋体" w:cs="宋体"/>
                <w:color w:val="000000"/>
                <w:kern w:val="0"/>
                <w:szCs w:val="21"/>
              </w:rPr>
            </w:pPr>
            <w:r>
              <w:rPr>
                <w:rFonts w:hint="eastAsia" w:ascii="宋体" w:hAnsi="宋体" w:cs="宋体"/>
                <w:color w:val="000000"/>
                <w:kern w:val="0"/>
                <w:szCs w:val="21"/>
              </w:rPr>
              <w:t xml:space="preserve">3.协助电机相关企业前往国家科技部、工信部、发改委等部委争取项目。  </w:t>
            </w:r>
          </w:p>
        </w:tc>
        <w:tc>
          <w:tcPr>
            <w:tcW w:w="3073" w:type="dxa"/>
            <w:noWrap w:val="0"/>
            <w:vAlign w:val="center"/>
          </w:tcPr>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1.在1年内形成我区电机产业深度发展态势报告，并完善电机产业园规划布局；研究制定市场配置与电机产业发展的政策与措施，指导制定我区电机产业发展规划；</w:t>
            </w:r>
          </w:p>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2.协助做好电机产业园创建工作，完善运营管理机制，初步形成规模，产业集聚度较高的电机产业园区；</w:t>
            </w:r>
          </w:p>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3.负责研究国内外电机产业发展趋势、发展重点和热点问题，及时提出对策建议；</w:t>
            </w:r>
          </w:p>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4.承</w:t>
            </w:r>
            <w:r>
              <w:rPr>
                <w:rFonts w:hint="eastAsia" w:ascii="宋体" w:hAnsi="宋体" w:cs="宋体"/>
                <w:color w:val="000000"/>
                <w:spacing w:val="-8"/>
                <w:kern w:val="0"/>
                <w:szCs w:val="21"/>
              </w:rPr>
              <w:t>担电机产业发展统计、数据分析，为政府决策提供依据</w:t>
            </w:r>
            <w:r>
              <w:rPr>
                <w:rFonts w:hint="eastAsia" w:ascii="宋体" w:hAnsi="宋体" w:cs="宋体"/>
                <w:color w:val="000000"/>
                <w:kern w:val="0"/>
                <w:szCs w:val="21"/>
              </w:rPr>
              <w:t>；</w:t>
            </w:r>
          </w:p>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5.指导企业开展技术升级、改造工作；   </w:t>
            </w:r>
          </w:p>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6.在3</w:t>
            </w:r>
            <w:r>
              <w:rPr>
                <w:rFonts w:hint="eastAsia" w:ascii="宋体" w:hAnsi="宋体" w:cs="宋体"/>
                <w:color w:val="000000"/>
                <w:spacing w:val="-8"/>
                <w:kern w:val="0"/>
                <w:szCs w:val="21"/>
              </w:rPr>
              <w:t>年内帮助电机相关企业在国家科技部、工信部、发改委等部委争取项目3个以上，为电机产业园争取省级以上</w:t>
            </w:r>
            <w:r>
              <w:rPr>
                <w:rFonts w:hint="eastAsia" w:ascii="宋体" w:hAnsi="宋体" w:cs="宋体"/>
                <w:spacing w:val="-8"/>
                <w:kern w:val="0"/>
                <w:szCs w:val="21"/>
              </w:rPr>
              <w:t>牌子</w:t>
            </w:r>
            <w:r>
              <w:rPr>
                <w:rFonts w:hint="eastAsia" w:ascii="宋体" w:hAnsi="宋体" w:cs="宋体"/>
                <w:color w:val="000000"/>
                <w:spacing w:val="-8"/>
                <w:kern w:val="0"/>
                <w:szCs w:val="21"/>
              </w:rPr>
              <w:t>1个</w:t>
            </w:r>
            <w:r>
              <w:rPr>
                <w:rFonts w:hint="eastAsia" w:ascii="宋体" w:hAnsi="宋体" w:cs="宋体"/>
                <w:color w:val="000000"/>
                <w:kern w:val="0"/>
                <w:szCs w:val="21"/>
              </w:rPr>
              <w:t>；</w:t>
            </w:r>
          </w:p>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7.推动电机产业相关企业每年建设1个院士工作站和博士后工作站；</w:t>
            </w:r>
          </w:p>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8.每年最少协助2家电机企业与科研院所、高校建立合作关系，推动企业实现自主创新；</w:t>
            </w:r>
          </w:p>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9.每年最少协助企业承接电机产业相关科研成果2项，并在一年内成果转化；</w:t>
            </w:r>
          </w:p>
          <w:p>
            <w:pPr>
              <w:widowControl/>
              <w:spacing w:line="2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10.承办和落实领导交办的其他事项。</w:t>
            </w:r>
          </w:p>
        </w:tc>
        <w:tc>
          <w:tcPr>
            <w:tcW w:w="1219" w:type="dxa"/>
            <w:noWrap w:val="0"/>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40万</w:t>
            </w:r>
          </w:p>
        </w:tc>
      </w:tr>
    </w:tbl>
    <w:p>
      <w:pPr>
        <w:spacing w:line="320" w:lineRule="exact"/>
        <w:ind w:firstLine="560" w:firstLineChars="200"/>
        <w:rPr>
          <w:rFonts w:hint="eastAsia" w:ascii="宋体" w:hAnsi="宋体" w:eastAsia="仿宋_GB2312"/>
          <w:kern w:val="0"/>
          <w:sz w:val="32"/>
          <w:szCs w:val="32"/>
          <w:lang w:eastAsia="zh-CN"/>
        </w:rPr>
        <w:sectPr>
          <w:pgSz w:w="16838" w:h="11906" w:orient="landscape"/>
          <w:pgMar w:top="1633" w:right="1440" w:bottom="1633" w:left="1440" w:header="851" w:footer="992" w:gutter="0"/>
          <w:cols w:space="720" w:num="1"/>
          <w:docGrid w:type="lines" w:linePitch="319" w:charSpace="0"/>
        </w:sectPr>
      </w:pPr>
      <w:r>
        <w:rPr>
          <w:rFonts w:hint="eastAsia" w:ascii="宋体" w:hAnsi="宋体" w:eastAsia="仿宋_GB2312" w:cs="仿宋_GB2312"/>
          <w:sz w:val="28"/>
          <w:szCs w:val="28"/>
        </w:rPr>
        <w:t>备注：指导薪酬由底薪和绩效构成，底薪按月发放，绩效工资完成聘任合同年度任务后一次性发放。此外，在聘任期间做出重大贡献的另行奖励</w:t>
      </w:r>
      <w:r>
        <w:rPr>
          <w:rFonts w:hint="eastAsia" w:ascii="宋体" w:hAnsi="宋体" w:eastAsia="仿宋_GB2312" w:cs="仿宋_GB2312"/>
          <w:sz w:val="28"/>
          <w:szCs w:val="28"/>
          <w:lang w:eastAsia="zh-CN"/>
        </w:rPr>
        <w:t>。</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C26E4"/>
    <w:rsid w:val="466C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2020-07-16T09:07:00Z</dcterms:created>
  <dc:creator>Believe</dc:creator>
  <cp:lastModifiedBy>Believe</cp:lastModifiedBy>
  <dcterms:modified xsi:type="dcterms:W3CDTF">2020-07-16T09:08:18Z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