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1051"/>
        <w:tblOverlap w:val="never"/>
        <w:tblW w:w="139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2"/>
        <w:gridCol w:w="1115"/>
        <w:gridCol w:w="1396"/>
        <w:gridCol w:w="697"/>
        <w:gridCol w:w="2371"/>
        <w:gridCol w:w="2372"/>
        <w:gridCol w:w="4045"/>
        <w:gridCol w:w="139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" w:hRule="atLeast"/>
        </w:trPr>
        <w:tc>
          <w:tcPr>
            <w:tcW w:w="13965" w:type="dxa"/>
            <w:gridSpan w:val="8"/>
            <w:vAlign w:val="center"/>
          </w:tcPr>
          <w:p>
            <w:pPr>
              <w:widowControl/>
              <w:spacing w:beforeLines="50"/>
              <w:jc w:val="left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2020年离石区公开招聘专任教师岗位表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招聘总数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学段学科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岗位 招聘数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" w:hRule="atLeast"/>
        </w:trPr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初中语文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硕士研究生35周岁及以下(1984年7月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日及以后出生)，博士研究生40周岁及以下(1979年7月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日及以后出生)</w:t>
            </w:r>
          </w:p>
        </w:tc>
        <w:tc>
          <w:tcPr>
            <w:tcW w:w="2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应届研究生及以上学历、硕士及以上学位。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汉语言与文秘类;语文教育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" w:hRule="atLeast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初中数学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数学与统计类;数学教育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" w:hRule="atLeast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专技岗位3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初中英语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外国语言文学类（仅限英语）;英语教育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" w:hRule="atLeast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专技岗位4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初中物理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物理与力学类；物理教育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" w:hRule="atLeast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专技岗位5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初中政治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哲学、政治学与马克思主义理论类;政治教育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" w:hRule="atLeast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初中化学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化学化工类;化学教育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" w:hRule="atLeast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专技岗位7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初中历史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历史学与文物考古类;历史教育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" w:hRule="atLeast"/>
        </w:trPr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区直小学语文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硕士研究生35周岁及以下(1984年7月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日及以后出生)，博士研究生40周岁及以下(1979年7月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日及以后出生)</w:t>
            </w:r>
            <w:bookmarkStart w:id="0" w:name="_GoBack"/>
            <w:bookmarkEnd w:id="0"/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应届研究生及以上学历、硕士及以上学位。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汉语言与文秘类；语文教育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" w:hRule="atLeast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区直小学语文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应往届研究生及以上学历、硕士及以上学位。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汉语言与文秘类;语文教育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专技岗位3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区直小学语文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研究生及以上学历、硕士及以上学位。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汉语言与文秘类;语文教育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服务基层岗位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" w:hRule="atLeast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专技岗位4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 xml:space="preserve">区直小学数学 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应届研究生及以上学历、硕士及以上学位。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数学与统计类;数学教育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" w:hRule="atLeast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专技岗位5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 xml:space="preserve">区直小学数学 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应往届研究生及以上学历、硕士及以上学位。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数学与统计类;数学教育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 xml:space="preserve">区直小学数学 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研究生及以上学历、硕士及以上学位。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数学与统计类;数学教育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服务基层岗位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专技岗位7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区直小学英语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应届研究生及以上学历、硕士及以上学位。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外国语言文学类（仅限英语）；英语教育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31019"/>
    <w:rsid w:val="30A31019"/>
    <w:rsid w:val="54BD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2020-07-28T10:14:00Z</dcterms:created>
  <dc:creator>僧哥</dc:creator>
  <cp:lastModifiedBy></cp:lastModifiedBy>
  <dcterms:modified xsi:type="dcterms:W3CDTF">2020-07-28T10:19:30Z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