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333333"/>
          <w:spacing w:val="0"/>
          <w:sz w:val="39"/>
          <w:szCs w:val="39"/>
          <w:shd w:val="clear" w:fill="FFFFFF"/>
        </w:rPr>
      </w:pPr>
      <w:r>
        <w:rPr>
          <w:rFonts w:hint="eastAsia" w:ascii="宋体" w:hAnsi="宋体" w:eastAsia="宋体" w:cs="宋体"/>
          <w:i w:val="0"/>
          <w:caps w:val="0"/>
          <w:color w:val="333333"/>
          <w:spacing w:val="0"/>
          <w:sz w:val="39"/>
          <w:szCs w:val="39"/>
          <w:shd w:val="clear" w:fill="FFFFFF"/>
        </w:rPr>
        <w:t>2021年嘉善县教育系统选聘高层次人才公告（第一批）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0"/>
        <w:rPr>
          <w:rFonts w:hint="eastAsia" w:ascii="宋体" w:hAnsi="宋体" w:eastAsia="宋体" w:cs="宋体"/>
          <w:i w:val="0"/>
          <w:caps w:val="0"/>
          <w:color w:val="3D3D3D"/>
          <w:spacing w:val="0"/>
          <w:sz w:val="21"/>
          <w:szCs w:val="21"/>
        </w:rPr>
      </w:pPr>
      <w:r>
        <w:rPr>
          <w:rFonts w:ascii="仿宋_GB2312" w:hAnsi="宋体" w:eastAsia="仿宋_GB2312" w:cs="仿宋_GB2312"/>
          <w:i w:val="0"/>
          <w:caps w:val="0"/>
          <w:color w:val="3D3D3D"/>
          <w:spacing w:val="0"/>
          <w:sz w:val="31"/>
          <w:szCs w:val="31"/>
          <w:bdr w:val="none" w:color="auto" w:sz="0" w:space="0"/>
          <w:shd w:val="clear" w:fill="FFFFFF"/>
        </w:rPr>
        <w:t>局属各学校（单位）</w:t>
      </w:r>
      <w:r>
        <w:rPr>
          <w:rFonts w:hint="default" w:ascii="仿宋_GB2312" w:hAnsi="宋体" w:eastAsia="仿宋_GB2312" w:cs="仿宋_GB2312"/>
          <w:i w:val="0"/>
          <w:caps w:val="0"/>
          <w:color w:val="3D3D3D"/>
          <w:spacing w:val="0"/>
          <w:sz w:val="31"/>
          <w:szCs w:val="31"/>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为进一步优化队伍结构，提高师资层次，促进全县教育事业高质量发展，嘉善县教育系统将赴全国部分“双一流”建设高校设点公开选聘优秀毕业生。第一批赴哈尔滨工业大学、四川大学、电子科技大学、浙江大学设点公开选聘优秀毕业生，现将有关事项公告如下：</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ascii="黑体" w:hAnsi="宋体" w:eastAsia="黑体" w:cs="黑体"/>
          <w:i w:val="0"/>
          <w:caps w:val="0"/>
          <w:color w:val="3D3D3D"/>
          <w:spacing w:val="0"/>
          <w:sz w:val="31"/>
          <w:szCs w:val="31"/>
          <w:bdr w:val="none" w:color="auto" w:sz="0" w:space="0"/>
          <w:shd w:val="clear" w:fill="FFFFFF"/>
        </w:rPr>
        <w:t>一、选聘范围及条件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（一）选聘范围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面向全国招聘符合《嘉善县教育高层次人才目录》中C、D、E类2021年应届毕业生（详见附件4）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（二）选聘基本条件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1.具有中华人民共和国国籍，拥护中国共产党的领导，拥护中华人民共和国宪法，具有坚定正确的政治方向和全心全意为人民服务的宗旨意识。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2.遵纪守法，品行端正，未受过任何刑事、党纪、政纪、校纪处分。服从组织分配，自愿从事所分配的岗位工作，具备正常履行职责的身体条件。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3.硕士研究生年龄在30周岁以下（即1990年7月1日以后出生），博士研究生放宽至35周岁（即1985年7月1日以后出生）；生源地、户籍均不限。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4.2021年应届研究生学历毕业生（含硕士研究生和博士研究生），各学历阶段均须全日制普通高校学历，各学历阶段均须具有相应学位。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5.各学历（本科生、硕士研究生、博士研究生）应聘人员均须以其最高学历所学专业报考符合选聘条件的岗位(非师范类专业要求见附件2和专业参考目录附件3)。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6.下列人员不得报考：（1）在国家法定考试中被认定有舞弊等严重违反纪律行为人员；（2）正在接受纪律审查的人员、涉嫌违法犯罪正在接受调查的人员以及国家和省另有规定不得聘用的其它情形人员。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7.实行回避制度，应聘人员不得报考聘用后即构成回避关系的选聘岗位。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8.全日制普通高校2021年应届毕业生须于2021年7月31日前取得毕业证书和学位证书。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9.报名者须对照本《公告》规定的选聘岗位和选聘条件如实申报，填写的信息、提供的应聘材料必须齐全且真实有效，如在任一环节发现不具备报考资格、材料不全或材料信息不实影响资格审核结果的行为，一经查实，随时取消应聘和录取资格，责任由报名者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二、选聘岗位及人数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2021年共选聘教育高层次人才100人（具体岗位见附件1），其中教师进修学校1人、普通高中教师25人、职业高中教师10人、初中教师27人、小学教师37人。本轮招聘以招考时间为顺序，相关招聘岗位若在前一考点中已招满，下一考点将不再推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三、报名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报名采取网上报名、现场报名相结合的方式，每人一个考点限报一个岗位。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（一）网上报名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1.报名时间：2020年10月22日9:00—10月30日16:00。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2.资格初审时间：2020年10月23日9:00—10月31日16:00。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报名、材料图片上传、资格初审，通过网络同步进行。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网上报名地址: http://jsbm.jiaxing.fun/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二维码：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sz w:val="21"/>
          <w:szCs w:val="21"/>
          <w:bdr w:val="none" w:color="auto" w:sz="0" w:space="0"/>
          <w:shd w:val="clear" w:fill="FFFFFF"/>
        </w:rPr>
        <w:drawing>
          <wp:inline distT="0" distB="0" distL="114300" distR="114300">
            <wp:extent cx="1295400" cy="13525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95400" cy="1352550"/>
                    </a:xfrm>
                    <a:prstGeom prst="rect">
                      <a:avLst/>
                    </a:prstGeom>
                    <a:noFill/>
                    <a:ln w="9525">
                      <a:noFill/>
                    </a:ln>
                  </pic:spPr>
                </pic:pic>
              </a:graphicData>
            </a:graphic>
          </wp:inline>
        </w:drawing>
      </w: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3.报名要求：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（1）信息录入：应聘人员按照网上报名系统提示，如实填报本人报名基本信息。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（2）照片上传：近期电子免冠2寸正面证件照，130×170像素，jpg格式，大小为20KB以下。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（3）材料上传：应聘人员须同时将下列证书材料的扫描件或拍照件电子图片（大小限制在1MB以下）上传至电子邮箱，邮箱地址：jsbwxyzp@163.com：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①本人有效期内身份证（需正反面）；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②全日制普通高校2021年应届毕业生提供《毕业生双向选择就业推荐表》、《毕业生就业协议书》和学生证；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③硕士研究生及以上学历应聘人员还须提供其本科及以上各学历阶段已取得的毕业证书、学位证书，同时提供本科一本证明；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④在校期间全部课程成绩单(需加盖学校教务部门章)；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⑤在校期间有关的荣誉、奖励证书、发表论文情况及实习经历等证明材料；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4.报名完成：通过资格初审后视为网上报名成功，报名成功者不可改报其他岗位。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（二）现场报名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因特殊原因未能完成网上名的，可参加现场报名。现场报名的考生须于面试当天上午9:00至11:00到指定地点报名，通过资格确认的考生参加面试。报名所需材料与网上报名所需全部材料一致（原件和复印件各一份）。</w:t>
      </w:r>
    </w:p>
    <w:tbl>
      <w:tblPr>
        <w:tblW w:w="8145"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404"/>
        <w:gridCol w:w="2029"/>
        <w:gridCol w:w="1893"/>
        <w:gridCol w:w="18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0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设点高校</w:t>
            </w:r>
          </w:p>
        </w:tc>
        <w:tc>
          <w:tcPr>
            <w:tcW w:w="202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初定面试时间</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面试地点</w:t>
            </w:r>
          </w:p>
        </w:tc>
        <w:tc>
          <w:tcPr>
            <w:tcW w:w="18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0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rPr>
                <w:sz w:val="21"/>
                <w:szCs w:val="21"/>
              </w:rPr>
            </w:pPr>
            <w:r>
              <w:rPr>
                <w:rFonts w:hint="default" w:ascii="仿宋_GB2312" w:hAnsi="宋体" w:eastAsia="仿宋_GB2312" w:cs="仿宋_GB2312"/>
                <w:i w:val="0"/>
                <w:caps w:val="0"/>
                <w:color w:val="3D3D3D"/>
                <w:spacing w:val="15"/>
                <w:sz w:val="30"/>
                <w:szCs w:val="30"/>
                <w:bdr w:val="none" w:color="auto" w:sz="0" w:space="0"/>
              </w:rPr>
              <w:t>哈尔滨工业大学</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11月4日</w:t>
            </w: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哈尔滨</w:t>
            </w:r>
          </w:p>
        </w:tc>
        <w:tc>
          <w:tcPr>
            <w:tcW w:w="181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具体面试时间地点另行通知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0" w:hRule="atLeast"/>
        </w:trPr>
        <w:tc>
          <w:tcPr>
            <w:tcW w:w="240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rPr>
                <w:sz w:val="21"/>
                <w:szCs w:val="21"/>
              </w:rPr>
            </w:pPr>
            <w:r>
              <w:rPr>
                <w:rFonts w:hint="default" w:ascii="仿宋_GB2312" w:hAnsi="宋体" w:eastAsia="仿宋_GB2312" w:cs="仿宋_GB2312"/>
                <w:i w:val="0"/>
                <w:caps w:val="0"/>
                <w:color w:val="3D3D3D"/>
                <w:spacing w:val="0"/>
                <w:sz w:val="30"/>
                <w:szCs w:val="30"/>
                <w:bdr w:val="none" w:color="auto" w:sz="0" w:space="0"/>
              </w:rPr>
              <w:t>四川大学</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11月7日</w:t>
            </w:r>
          </w:p>
        </w:tc>
        <w:tc>
          <w:tcPr>
            <w:tcW w:w="189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成都</w:t>
            </w:r>
          </w:p>
        </w:tc>
        <w:tc>
          <w:tcPr>
            <w:tcW w:w="181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240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rPr>
                <w:sz w:val="21"/>
                <w:szCs w:val="21"/>
              </w:rPr>
            </w:pPr>
            <w:r>
              <w:rPr>
                <w:rFonts w:hint="default" w:ascii="仿宋_GB2312" w:hAnsi="宋体" w:eastAsia="仿宋_GB2312" w:cs="仿宋_GB2312"/>
                <w:i w:val="0"/>
                <w:caps w:val="0"/>
                <w:color w:val="3D3D3D"/>
                <w:spacing w:val="0"/>
                <w:sz w:val="30"/>
                <w:szCs w:val="30"/>
                <w:bdr w:val="none" w:color="auto" w:sz="0" w:space="0"/>
              </w:rPr>
              <w:t>电子科技大学</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11月8日</w:t>
            </w:r>
          </w:p>
        </w:tc>
        <w:tc>
          <w:tcPr>
            <w:tcW w:w="189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c>
          <w:tcPr>
            <w:tcW w:w="181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0" w:hRule="atLeast"/>
        </w:trPr>
        <w:tc>
          <w:tcPr>
            <w:tcW w:w="240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rPr>
                <w:sz w:val="21"/>
                <w:szCs w:val="21"/>
              </w:rPr>
            </w:pPr>
            <w:r>
              <w:rPr>
                <w:rFonts w:hint="default" w:ascii="仿宋_GB2312" w:hAnsi="宋体" w:eastAsia="仿宋_GB2312" w:cs="仿宋_GB2312"/>
                <w:i w:val="0"/>
                <w:caps w:val="0"/>
                <w:color w:val="3D3D3D"/>
                <w:spacing w:val="15"/>
                <w:sz w:val="30"/>
                <w:szCs w:val="30"/>
                <w:bdr w:val="none" w:color="auto" w:sz="0" w:space="0"/>
              </w:rPr>
              <w:t>浙江大学</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11月14日</w:t>
            </w: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jc w:val="center"/>
              <w:rPr>
                <w:sz w:val="21"/>
                <w:szCs w:val="21"/>
              </w:rPr>
            </w:pPr>
            <w:r>
              <w:rPr>
                <w:rFonts w:hint="default" w:ascii="仿宋_GB2312" w:hAnsi="宋体" w:eastAsia="仿宋_GB2312" w:cs="仿宋_GB2312"/>
                <w:i w:val="0"/>
                <w:caps w:val="0"/>
                <w:color w:val="3D3D3D"/>
                <w:spacing w:val="15"/>
                <w:sz w:val="30"/>
                <w:szCs w:val="30"/>
                <w:bdr w:val="none" w:color="auto" w:sz="0" w:space="0"/>
              </w:rPr>
              <w:t>杭州</w:t>
            </w:r>
          </w:p>
        </w:tc>
        <w:tc>
          <w:tcPr>
            <w:tcW w:w="181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i w:val="0"/>
                <w:caps w:val="0"/>
                <w:color w:val="3D3D3D"/>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四、资格复审和面试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（一）资格复审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网上报名通过资格初审的考生将报名时上传的全部材料原件和复印件各一份，于面试当天上午9:00至11:00到指定地点进行资格复审。面试具体时间、地点请关注嘉善县政府信息公开网http://www.jiashan.gov.cn/col/col1602362/index.html和“嘉善教育之声”微信公众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（二）面试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1.面试采取试讲加面谈（如学科需要，可安排笔试，笔试成绩不合格不予录用）的形式进行，主要测试应聘者把握学科的教学能力和专业素质。面试总分为100分，设60分为合格分数线，成绩保留两位小数。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2.面试成绩当场公布。面试结束当天，在面试考点张榜公布面试成绩和进入体检人员名单，随后在嘉善县政府信息公开网http://www.jiashan.gov.cn/col/col1602362/index.html和“嘉善教育之声”微信公众号公示，时间不少于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五、体检、考察、公示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在面试合格分数线以上，根据面试成绩按岗位拟选聘人数1:1的比例从高分到低分确定参加体检人员名单，体检标准参照修订后的《公务员录用体检通用标准（试行）》进行。在规定时间内到指定的医疗机构进行体检（具体时间、地点另行通知），体检费用由应聘人员自理，体检不合格者不得录用。参加体检的人员须签订《毕业生就业协议书》。未签订《毕业生就业协议书》者或未在规定时间内参加体检者，视为自动放弃。体检合格者，嘉善县教育局根据选聘岗位要求，统一组织实施考察（政审）。考察合格后拟聘用人员名单在嘉善县政府信息公开网http://www.jiashan.gov.cn/col/col1602362/index.html公示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六、其他说明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1.疫情防控。在选聘工作组织实施过程中将按照新冠肺炎疫情防控有关要求，落实防疫措施，必要时将对有关工作安排进行适当调整，请考生理解支持和配合。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2.本次选聘拟聘用暂无教师资格证者，须自试用期起2年内取得教师资格证，未在规定期限内取得教师资格证的将解除聘用合同。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3.对录用的C、D、E类人才按《嘉善县教育高层次人才引育工作实施方案》给予60万元、40万元、30万元的奖励。住房政策按《嘉善县“文教卫紧缺专业技术人才住房券”管理和使用暂行办法》执行（附件5）。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4.本简章的解释权属嘉善县教育局。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5.政策咨询电话：0573－89102615或89102539。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00" w:lineRule="atLeast"/>
        <w:ind w:left="0" w:right="0" w:firstLine="66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6.监督投诉电话：0573-89102150。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2055"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5"/>
          <w:sz w:val="31"/>
          <w:szCs w:val="31"/>
          <w:bdr w:val="none" w:color="auto" w:sz="0" w:space="0"/>
          <w:shd w:val="clear" w:fill="FFFFFF"/>
        </w:rPr>
        <w:t>附件：1.2021年嘉善县教育局年选聘高层次人才岗位需求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174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5"/>
          <w:sz w:val="31"/>
          <w:szCs w:val="31"/>
          <w:bdr w:val="none" w:color="auto" w:sz="0" w:space="0"/>
          <w:shd w:val="clear" w:fill="FFFFFF"/>
        </w:rPr>
        <w:t>2.非师范类应聘对象的专业要求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174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5"/>
          <w:sz w:val="31"/>
          <w:szCs w:val="31"/>
          <w:bdr w:val="none" w:color="auto" w:sz="0" w:space="0"/>
          <w:shd w:val="clear" w:fill="FFFFFF"/>
        </w:rPr>
        <w:t>3.专业参考目录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174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5"/>
          <w:sz w:val="31"/>
          <w:szCs w:val="31"/>
          <w:bdr w:val="none" w:color="auto" w:sz="0" w:space="0"/>
          <w:shd w:val="clear" w:fill="FFFFFF"/>
        </w:rPr>
        <w:t>4.嘉善县教育高层次人才目录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2115"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5"/>
          <w:sz w:val="31"/>
          <w:szCs w:val="31"/>
          <w:bdr w:val="none" w:color="auto" w:sz="0" w:space="0"/>
          <w:shd w:val="clear" w:fill="FFFFFF"/>
        </w:rPr>
        <w:t>5.嘉善县“文教卫紧缺专业技术人才住房券”管理和使用暂行办法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95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嘉善县教育局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2020年10月16日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5"/>
          <w:sz w:val="31"/>
          <w:szCs w:val="31"/>
          <w:bdr w:val="none" w:color="auto" w:sz="0" w:space="0"/>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15"/>
          <w:sz w:val="31"/>
          <w:szCs w:val="31"/>
          <w:bdr w:val="none" w:color="auto" w:sz="0" w:space="0"/>
          <w:shd w:val="clear" w:fill="FFFFFF"/>
        </w:rPr>
        <w:t>2021年嘉善县教育局年选聘高层次人才岗位需求</w:t>
      </w:r>
    </w:p>
    <w:tbl>
      <w:tblPr>
        <w:tblW w:w="9780" w:type="dxa"/>
        <w:tblInd w:w="90" w:type="dxa"/>
        <w:shd w:val="clear" w:color="auto" w:fill="FFFFFF"/>
        <w:tblLayout w:type="autofit"/>
        <w:tblCellMar>
          <w:top w:w="15" w:type="dxa"/>
          <w:left w:w="15" w:type="dxa"/>
          <w:bottom w:w="15" w:type="dxa"/>
          <w:right w:w="15" w:type="dxa"/>
        </w:tblCellMar>
      </w:tblPr>
      <w:tblGrid>
        <w:gridCol w:w="4170"/>
        <w:gridCol w:w="459"/>
        <w:gridCol w:w="459"/>
        <w:gridCol w:w="459"/>
        <w:gridCol w:w="459"/>
        <w:gridCol w:w="464"/>
        <w:gridCol w:w="452"/>
        <w:gridCol w:w="450"/>
        <w:gridCol w:w="459"/>
        <w:gridCol w:w="459"/>
        <w:gridCol w:w="470"/>
        <w:gridCol w:w="481"/>
        <w:gridCol w:w="471"/>
        <w:gridCol w:w="68"/>
      </w:tblGrid>
      <w:tr>
        <w:tblPrEx>
          <w:shd w:val="clear" w:color="auto" w:fill="FFFFFF"/>
          <w:tblCellMar>
            <w:top w:w="15" w:type="dxa"/>
            <w:left w:w="15" w:type="dxa"/>
            <w:bottom w:w="15" w:type="dxa"/>
            <w:right w:w="15" w:type="dxa"/>
          </w:tblCellMar>
        </w:tblPrEx>
        <w:trPr>
          <w:trHeight w:val="585" w:hRule="atLeast"/>
        </w:trPr>
        <w:tc>
          <w:tcPr>
            <w:tcW w:w="9780" w:type="dxa"/>
            <w:gridSpan w:val="14"/>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（1）嘉善教师进修学校：</w:t>
            </w:r>
            <w:r>
              <w:rPr>
                <w:rFonts w:hint="default" w:ascii="仿宋_GB2312" w:hAnsi="宋体" w:eastAsia="仿宋_GB2312" w:cs="仿宋_GB2312"/>
                <w:i w:val="0"/>
                <w:caps w:val="0"/>
                <w:color w:val="3D3D3D"/>
                <w:spacing w:val="0"/>
                <w:sz w:val="30"/>
                <w:szCs w:val="30"/>
                <w:bdr w:val="none" w:color="auto" w:sz="0" w:space="0"/>
              </w:rPr>
              <w:t>全日制教育类博士研究生1人。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（2）普通高中25人：</w:t>
            </w:r>
          </w:p>
        </w:tc>
      </w:tr>
      <w:tr>
        <w:tblPrEx>
          <w:tblCellMar>
            <w:top w:w="15" w:type="dxa"/>
            <w:left w:w="15" w:type="dxa"/>
            <w:bottom w:w="15" w:type="dxa"/>
            <w:right w:w="15" w:type="dxa"/>
          </w:tblCellMar>
        </w:tblPrEx>
        <w:trPr>
          <w:trHeight w:val="1185" w:hRule="atLeast"/>
        </w:trPr>
        <w:tc>
          <w:tcPr>
            <w:tcW w:w="186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学科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120"/>
              <w:rPr>
                <w:sz w:val="21"/>
                <w:szCs w:val="21"/>
              </w:rPr>
            </w:pPr>
            <w:r>
              <w:rPr>
                <w:rFonts w:hint="default" w:ascii="仿宋_GB2312" w:hAnsi="宋体" w:eastAsia="仿宋_GB2312" w:cs="仿宋_GB2312"/>
                <w:i w:val="0"/>
                <w:caps w:val="0"/>
                <w:color w:val="3D3D3D"/>
                <w:spacing w:val="0"/>
                <w:sz w:val="24"/>
                <w:szCs w:val="24"/>
                <w:bdr w:val="none" w:color="auto" w:sz="0" w:space="0"/>
              </w:rPr>
              <w:t>选聘学校                </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语文</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数学</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英语</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物理</w:t>
            </w:r>
          </w:p>
        </w:tc>
        <w:tc>
          <w:tcPr>
            <w:tcW w:w="6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生物</w:t>
            </w:r>
          </w:p>
        </w:tc>
        <w:tc>
          <w:tcPr>
            <w:tcW w:w="4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化学</w:t>
            </w:r>
          </w:p>
        </w:tc>
        <w:tc>
          <w:tcPr>
            <w:tcW w:w="450" w:type="dxa"/>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政治</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地理</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美术</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机电</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信息技术</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合计</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186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嘉善高级中学</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6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15人</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186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嘉善第二高级中学</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6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186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浙江省嘉善中学</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6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人</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sz w:val="21"/>
          <w:szCs w:val="21"/>
          <w:bdr w:val="none" w:color="auto" w:sz="0" w:space="0"/>
          <w:shd w:val="clear" w:fill="FFFFFF"/>
        </w:rPr>
        <w:t>注：专业要求：对应专业大类或专业相近。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tbl>
      <w:tblPr>
        <w:tblW w:w="9780" w:type="dxa"/>
        <w:tblInd w:w="90" w:type="dxa"/>
        <w:shd w:val="clear" w:color="auto" w:fill="FFFFFF"/>
        <w:tblLayout w:type="autofit"/>
        <w:tblCellMar>
          <w:top w:w="15" w:type="dxa"/>
          <w:left w:w="15" w:type="dxa"/>
          <w:bottom w:w="15" w:type="dxa"/>
          <w:right w:w="15" w:type="dxa"/>
        </w:tblCellMar>
      </w:tblPr>
      <w:tblGrid>
        <w:gridCol w:w="3690"/>
        <w:gridCol w:w="629"/>
        <w:gridCol w:w="630"/>
        <w:gridCol w:w="630"/>
        <w:gridCol w:w="1032"/>
        <w:gridCol w:w="1138"/>
        <w:gridCol w:w="736"/>
        <w:gridCol w:w="1295"/>
      </w:tblGrid>
      <w:tr>
        <w:tblPrEx>
          <w:shd w:val="clear" w:color="auto" w:fill="FFFFFF"/>
          <w:tblCellMar>
            <w:top w:w="15" w:type="dxa"/>
            <w:left w:w="15" w:type="dxa"/>
            <w:bottom w:w="15" w:type="dxa"/>
            <w:right w:w="15" w:type="dxa"/>
          </w:tblCellMar>
        </w:tblPrEx>
        <w:trPr>
          <w:trHeight w:val="585" w:hRule="atLeast"/>
        </w:trPr>
        <w:tc>
          <w:tcPr>
            <w:tcW w:w="9780" w:type="dxa"/>
            <w:gridSpan w:val="8"/>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（3）职业高中10人：</w:t>
            </w:r>
          </w:p>
        </w:tc>
      </w:tr>
      <w:tr>
        <w:tblPrEx>
          <w:tblCellMar>
            <w:top w:w="15" w:type="dxa"/>
            <w:left w:w="15" w:type="dxa"/>
            <w:bottom w:w="15" w:type="dxa"/>
            <w:right w:w="15" w:type="dxa"/>
          </w:tblCellMar>
        </w:tblPrEx>
        <w:trPr>
          <w:trHeight w:val="1185" w:hRule="atLeast"/>
        </w:trPr>
        <w:tc>
          <w:tcPr>
            <w:tcW w:w="228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学科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120"/>
              <w:rPr>
                <w:sz w:val="21"/>
                <w:szCs w:val="21"/>
              </w:rPr>
            </w:pPr>
            <w:r>
              <w:rPr>
                <w:rFonts w:hint="default" w:ascii="仿宋_GB2312" w:hAnsi="宋体" w:eastAsia="仿宋_GB2312" w:cs="仿宋_GB2312"/>
                <w:i w:val="0"/>
                <w:caps w:val="0"/>
                <w:color w:val="3D3D3D"/>
                <w:spacing w:val="0"/>
                <w:sz w:val="24"/>
                <w:szCs w:val="24"/>
                <w:bdr w:val="none" w:color="auto" w:sz="0" w:space="0"/>
              </w:rPr>
              <w:t>选聘学校              </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语文</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数学</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英语</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机电</w:t>
            </w:r>
          </w:p>
        </w:tc>
        <w:tc>
          <w:tcPr>
            <w:tcW w:w="142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物联网技术</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合计</w:t>
            </w:r>
          </w:p>
        </w:tc>
        <w:tc>
          <w:tcPr>
            <w:tcW w:w="181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28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嘉善县中等专业学校　　　　　　　　　　</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5人</w:t>
            </w:r>
          </w:p>
        </w:tc>
        <w:tc>
          <w:tcPr>
            <w:tcW w:w="181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28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嘉善信息技术工程学校</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14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5人</w:t>
            </w:r>
          </w:p>
        </w:tc>
        <w:tc>
          <w:tcPr>
            <w:tcW w:w="181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tbl>
      <w:tblPr>
        <w:tblW w:w="9780" w:type="dxa"/>
        <w:tblInd w:w="90" w:type="dxa"/>
        <w:shd w:val="clear" w:color="auto" w:fill="FFFFFF"/>
        <w:tblLayout w:type="autofit"/>
        <w:tblCellMar>
          <w:top w:w="15" w:type="dxa"/>
          <w:left w:w="15" w:type="dxa"/>
          <w:bottom w:w="15" w:type="dxa"/>
          <w:right w:w="15" w:type="dxa"/>
        </w:tblCellMar>
      </w:tblPr>
      <w:tblGrid>
        <w:gridCol w:w="3690"/>
        <w:gridCol w:w="619"/>
        <w:gridCol w:w="619"/>
        <w:gridCol w:w="619"/>
        <w:gridCol w:w="619"/>
        <w:gridCol w:w="619"/>
        <w:gridCol w:w="619"/>
        <w:gridCol w:w="639"/>
        <w:gridCol w:w="718"/>
        <w:gridCol w:w="1019"/>
      </w:tblGrid>
      <w:tr>
        <w:tblPrEx>
          <w:shd w:val="clear" w:color="auto" w:fill="FFFFFF"/>
          <w:tblCellMar>
            <w:top w:w="15" w:type="dxa"/>
            <w:left w:w="15" w:type="dxa"/>
            <w:bottom w:w="15" w:type="dxa"/>
            <w:right w:w="15" w:type="dxa"/>
          </w:tblCellMar>
        </w:tblPrEx>
        <w:trPr>
          <w:trHeight w:val="585" w:hRule="atLeast"/>
        </w:trPr>
        <w:tc>
          <w:tcPr>
            <w:tcW w:w="9780" w:type="dxa"/>
            <w:gridSpan w:val="10"/>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i w:val="0"/>
                <w:caps w:val="0"/>
                <w:color w:val="3D3D3D"/>
                <w:spacing w:val="0"/>
                <w:sz w:val="21"/>
                <w:szCs w:val="21"/>
                <w:bdr w:val="none" w:color="auto" w:sz="0" w:space="0"/>
              </w:rPr>
              <w:t>注：专业要求：对应专业大类或专业相近。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（4）初中27人：</w:t>
            </w:r>
          </w:p>
        </w:tc>
      </w:tr>
      <w:tr>
        <w:tblPrEx>
          <w:tblCellMar>
            <w:top w:w="15" w:type="dxa"/>
            <w:left w:w="15" w:type="dxa"/>
            <w:bottom w:w="15" w:type="dxa"/>
            <w:right w:w="15" w:type="dxa"/>
          </w:tblCellMar>
        </w:tblPrEx>
        <w:trPr>
          <w:trHeight w:val="1185" w:hRule="atLeast"/>
        </w:trPr>
        <w:tc>
          <w:tcPr>
            <w:tcW w:w="2430"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学科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120"/>
              <w:rPr>
                <w:sz w:val="21"/>
                <w:szCs w:val="21"/>
              </w:rPr>
            </w:pPr>
            <w:r>
              <w:rPr>
                <w:rFonts w:hint="default" w:ascii="仿宋_GB2312" w:hAnsi="宋体" w:eastAsia="仿宋_GB2312" w:cs="仿宋_GB2312"/>
                <w:i w:val="0"/>
                <w:caps w:val="0"/>
                <w:color w:val="3D3D3D"/>
                <w:spacing w:val="0"/>
                <w:sz w:val="24"/>
                <w:szCs w:val="24"/>
                <w:bdr w:val="none" w:color="auto" w:sz="0" w:space="0"/>
              </w:rPr>
              <w:t>选聘学校              </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语文</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数学</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英语</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科学</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社政</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体育</w:t>
            </w:r>
          </w:p>
        </w:tc>
        <w:tc>
          <w:tcPr>
            <w:tcW w:w="7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心理健康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合计</w:t>
            </w:r>
          </w:p>
        </w:tc>
        <w:tc>
          <w:tcPr>
            <w:tcW w:w="15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浙江省嘉善县第一中学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4人</w:t>
            </w:r>
          </w:p>
        </w:tc>
        <w:tc>
          <w:tcPr>
            <w:tcW w:w="15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浙江省嘉善县第四中学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6人</w:t>
            </w:r>
          </w:p>
        </w:tc>
        <w:tc>
          <w:tcPr>
            <w:tcW w:w="15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嘉善县泗洲中学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3人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7人</w:t>
            </w:r>
          </w:p>
        </w:tc>
        <w:tc>
          <w:tcPr>
            <w:tcW w:w="15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浙江师范大学附属嘉善实验学校</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8人</w:t>
            </w:r>
          </w:p>
        </w:tc>
        <w:tc>
          <w:tcPr>
            <w:tcW w:w="15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嘉善县实验中学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1人</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2人</w:t>
            </w:r>
          </w:p>
        </w:tc>
        <w:tc>
          <w:tcPr>
            <w:tcW w:w="150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sz w:val="21"/>
          <w:szCs w:val="21"/>
          <w:bdr w:val="none" w:color="auto" w:sz="0" w:space="0"/>
          <w:shd w:val="clear" w:fill="FFFFFF"/>
        </w:rPr>
        <w:t>注：专业要求：对应专业大类或专业相近。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tbl>
      <w:tblPr>
        <w:tblW w:w="8940" w:type="dxa"/>
        <w:tblInd w:w="90" w:type="dxa"/>
        <w:shd w:val="clear" w:color="auto" w:fill="FFFFFF"/>
        <w:tblLayout w:type="autofit"/>
        <w:tblCellMar>
          <w:top w:w="15" w:type="dxa"/>
          <w:left w:w="15" w:type="dxa"/>
          <w:bottom w:w="15" w:type="dxa"/>
          <w:right w:w="15" w:type="dxa"/>
        </w:tblCellMar>
      </w:tblPr>
      <w:tblGrid>
        <w:gridCol w:w="2490"/>
        <w:gridCol w:w="698"/>
        <w:gridCol w:w="698"/>
        <w:gridCol w:w="699"/>
        <w:gridCol w:w="699"/>
        <w:gridCol w:w="699"/>
        <w:gridCol w:w="699"/>
        <w:gridCol w:w="699"/>
        <w:gridCol w:w="699"/>
        <w:gridCol w:w="860"/>
      </w:tblGrid>
      <w:tr>
        <w:tblPrEx>
          <w:shd w:val="clear" w:color="auto" w:fill="FFFFFF"/>
          <w:tblCellMar>
            <w:top w:w="15" w:type="dxa"/>
            <w:left w:w="15" w:type="dxa"/>
            <w:bottom w:w="15" w:type="dxa"/>
            <w:right w:w="15" w:type="dxa"/>
          </w:tblCellMar>
        </w:tblPrEx>
        <w:trPr>
          <w:trHeight w:val="585" w:hRule="atLeast"/>
        </w:trPr>
        <w:tc>
          <w:tcPr>
            <w:tcW w:w="8940" w:type="dxa"/>
            <w:gridSpan w:val="10"/>
            <w:tcBorders>
              <w:top w:val="nil"/>
              <w:left w:val="nil"/>
              <w:bottom w:val="nil"/>
              <w:right w:val="nil"/>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i w:val="0"/>
                <w:caps w:val="0"/>
                <w:color w:val="3D3D3D"/>
                <w:spacing w:val="0"/>
                <w:sz w:val="31"/>
                <w:szCs w:val="31"/>
                <w:bdr w:val="none" w:color="auto" w:sz="0" w:space="0"/>
              </w:rPr>
              <w:t>（5）小学37人：</w:t>
            </w:r>
          </w:p>
        </w:tc>
      </w:tr>
      <w:tr>
        <w:tblPrEx>
          <w:tblCellMar>
            <w:top w:w="15" w:type="dxa"/>
            <w:left w:w="15" w:type="dxa"/>
            <w:bottom w:w="15" w:type="dxa"/>
            <w:right w:w="15" w:type="dxa"/>
          </w:tblCellMar>
        </w:tblPrEx>
        <w:trPr>
          <w:trHeight w:val="1185" w:hRule="atLeast"/>
        </w:trPr>
        <w:tc>
          <w:tcPr>
            <w:tcW w:w="24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24"/>
                <w:szCs w:val="24"/>
                <w:bdr w:val="none" w:color="auto" w:sz="0" w:space="0"/>
              </w:rPr>
              <w:t>  学校        学科      </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语文</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数学</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英语</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科学</w:t>
            </w:r>
          </w:p>
        </w:tc>
        <w:tc>
          <w:tcPr>
            <w:tcW w:w="705" w:type="dxa"/>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音乐</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体育</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美术</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信息技术</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合计</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浙江师范大学附属嘉善实验学校</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10人</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嘉善县实验小学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5人</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嘉善县第二实验小学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5人</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嘉善县吴镇教育集团吴镇小学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5人</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嘉善县吴镇教育集团泗洲小学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4人</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嘉善县吴镇教育集团硕士小学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4人</w:t>
            </w:r>
          </w:p>
        </w:tc>
      </w:tr>
      <w:tr>
        <w:tblPrEx>
          <w:tblCellMar>
            <w:top w:w="15" w:type="dxa"/>
            <w:left w:w="15" w:type="dxa"/>
            <w:bottom w:w="15" w:type="dxa"/>
            <w:right w:w="15" w:type="dxa"/>
          </w:tblCellMar>
        </w:tblPrEx>
        <w:trPr>
          <w:trHeight w:val="58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default" w:ascii="仿宋_GB2312" w:hAnsi="宋体" w:eastAsia="仿宋_GB2312" w:cs="仿宋_GB2312"/>
                <w:i w:val="0"/>
                <w:caps w:val="0"/>
                <w:color w:val="3D3D3D"/>
                <w:spacing w:val="0"/>
                <w:sz w:val="19"/>
                <w:szCs w:val="19"/>
                <w:bdr w:val="none" w:color="auto" w:sz="0" w:space="0"/>
              </w:rPr>
              <w:t>嘉善县杜鹃小学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2人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宋体" w:hAnsi="宋体" w:eastAsia="宋体" w:cs="宋体"/>
                <w:i w:val="0"/>
                <w:caps w:val="0"/>
                <w:color w:val="3D3D3D"/>
                <w:spacing w:val="0"/>
                <w:sz w:val="22"/>
                <w:szCs w:val="22"/>
                <w:bdr w:val="none" w:color="auto" w:sz="0" w:space="0"/>
              </w:rPr>
              <w:t>1人</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D3D3D"/>
                <w:spacing w:val="0"/>
                <w:sz w:val="21"/>
                <w:szCs w:val="21"/>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hAnsi="宋体" w:eastAsia="仿宋_GB2312" w:cs="仿宋_GB2312"/>
                <w:i w:val="0"/>
                <w:caps w:val="0"/>
                <w:color w:val="3D3D3D"/>
                <w:spacing w:val="0"/>
                <w:sz w:val="24"/>
                <w:szCs w:val="24"/>
                <w:bdr w:val="none" w:color="auto" w:sz="0" w:space="0"/>
              </w:rPr>
              <w:t>4人</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宋体" w:hAnsi="宋体" w:eastAsia="宋体" w:cs="宋体"/>
          <w:i w:val="0"/>
          <w:caps w:val="0"/>
          <w:color w:val="3D3D3D"/>
          <w:spacing w:val="0"/>
          <w:sz w:val="21"/>
          <w:szCs w:val="21"/>
          <w:bdr w:val="none" w:color="auto" w:sz="0" w:space="0"/>
          <w:shd w:val="clear" w:fill="FFFFFF"/>
        </w:rPr>
        <w:t>注：专业要求：对应专业大类或专业相近。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宋体" w:hAnsi="宋体" w:eastAsia="宋体" w:cs="宋体"/>
          <w:i w:val="0"/>
          <w:caps w:val="0"/>
          <w:color w:val="3D3D3D"/>
          <w:spacing w:val="0"/>
          <w:sz w:val="21"/>
          <w:szCs w:val="21"/>
        </w:rPr>
      </w:pPr>
      <w:r>
        <w:rPr>
          <w:rStyle w:val="8"/>
          <w:rFonts w:hint="default" w:ascii="仿宋_GB2312" w:hAnsi="宋体" w:eastAsia="仿宋_GB2312" w:cs="仿宋_GB2312"/>
          <w:b/>
          <w:i w:val="0"/>
          <w:caps w:val="0"/>
          <w:color w:val="3D3D3D"/>
          <w:spacing w:val="0"/>
          <w:sz w:val="31"/>
          <w:szCs w:val="31"/>
          <w:bdr w:val="none" w:color="auto" w:sz="0" w:space="0"/>
          <w:shd w:val="clear" w:fill="FFFFFF"/>
        </w:rPr>
        <w:t>非师范类应聘对象的专业要求</w:t>
      </w:r>
    </w:p>
    <w:tbl>
      <w:tblPr>
        <w:tblW w:w="90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73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学科</w:t>
            </w:r>
          </w:p>
        </w:tc>
        <w:tc>
          <w:tcPr>
            <w:tcW w:w="73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对应专业及大类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语文</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中文文秘类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数学</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基础理学类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英语</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外国语言文学类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eastAsia="仿宋_GB2312" w:cs="仿宋_GB2312"/>
                <w:sz w:val="24"/>
                <w:szCs w:val="24"/>
                <w:bdr w:val="none" w:color="auto" w:sz="0" w:space="0"/>
              </w:rPr>
              <w:t>物理</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基础理学类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eastAsia="仿宋_GB2312" w:cs="仿宋_GB2312"/>
                <w:sz w:val="24"/>
                <w:szCs w:val="24"/>
                <w:bdr w:val="none" w:color="auto" w:sz="0" w:space="0"/>
              </w:rPr>
              <w:t>化学</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化学工程类、医药化工类、基础理学类相关专业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eastAsia="仿宋_GB2312" w:cs="仿宋_GB2312"/>
                <w:sz w:val="24"/>
                <w:szCs w:val="24"/>
                <w:bdr w:val="none" w:color="auto" w:sz="0" w:space="0"/>
              </w:rPr>
              <w:t>生物</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生物工程类、农业类、林业类、基础理学类相关专业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default" w:ascii="仿宋_GB2312" w:eastAsia="仿宋_GB2312" w:cs="仿宋_GB2312"/>
                <w:sz w:val="24"/>
                <w:szCs w:val="24"/>
                <w:bdr w:val="none" w:color="auto" w:sz="0" w:space="0"/>
              </w:rPr>
              <w:t>政治</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社会政治类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地理</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地质矿产类、基础理学类相关专业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科学</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化学工程类、医药化工类、化学工程类、医药化工类、生物工程类、农业类、林业类、基础理学类相关专业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社会与政治</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社会政治类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体育</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教育学类下二级学科：体育人文社会学，运动人体科学，体育教育训练学，民族传统体育学，体育学，体育教学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美术</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艺术类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音乐</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艺术类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信息技术</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计算机（大类）类、计算机（软件）类、计算机（网络管理）类、教育技术学专业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机械电子</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机电控制类、机械工程类、电子信息类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物联网技术</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计算机（网络管理）类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心理健康</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教育学类下二级科目：心理健康教育专业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教育类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center"/>
              <w:rPr>
                <w:sz w:val="21"/>
                <w:szCs w:val="21"/>
              </w:rPr>
            </w:pPr>
            <w:r>
              <w:rPr>
                <w:rFonts w:hint="default" w:ascii="仿宋_GB2312" w:eastAsia="仿宋_GB2312" w:cs="仿宋_GB2312"/>
                <w:sz w:val="24"/>
                <w:szCs w:val="24"/>
                <w:bdr w:val="none" w:color="auto" w:sz="0" w:space="0"/>
              </w:rPr>
              <w:t>博士研究生</w:t>
            </w:r>
          </w:p>
        </w:tc>
        <w:tc>
          <w:tcPr>
            <w:tcW w:w="73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rPr>
                <w:sz w:val="21"/>
                <w:szCs w:val="21"/>
              </w:rPr>
            </w:pPr>
            <w:r>
              <w:rPr>
                <w:rFonts w:hint="default" w:ascii="仿宋_GB2312" w:eastAsia="仿宋_GB2312" w:cs="仿宋_GB2312"/>
                <w:sz w:val="24"/>
                <w:szCs w:val="24"/>
                <w:bdr w:val="none" w:color="auto" w:sz="0" w:space="0"/>
              </w:rPr>
              <w:t>三级科目：040101教育学原理、040102课程与教学论、040104比较教育学</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135"/>
          <w:sz w:val="43"/>
          <w:szCs w:val="43"/>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135"/>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85" w:lineRule="atLeast"/>
        <w:ind w:left="0" w:right="0" w:firstLine="0"/>
        <w:jc w:val="center"/>
        <w:rPr>
          <w:rFonts w:hint="eastAsia" w:ascii="宋体" w:hAnsi="宋体" w:eastAsia="宋体" w:cs="宋体"/>
          <w:i w:val="0"/>
          <w:caps w:val="0"/>
          <w:color w:val="3D3D3D"/>
          <w:spacing w:val="0"/>
          <w:sz w:val="21"/>
          <w:szCs w:val="21"/>
        </w:rPr>
      </w:pPr>
      <w:r>
        <w:rPr>
          <w:rFonts w:ascii="方正小标宋_GBK" w:hAnsi="方正小标宋_GBK" w:eastAsia="方正小标宋_GBK" w:cs="方正小标宋_GBK"/>
          <w:i w:val="0"/>
          <w:caps w:val="0"/>
          <w:color w:val="3D3D3D"/>
          <w:spacing w:val="0"/>
          <w:sz w:val="43"/>
          <w:szCs w:val="43"/>
          <w:bdr w:val="none" w:color="auto" w:sz="0" w:space="0"/>
          <w:shd w:val="clear" w:fill="FFFFFF"/>
        </w:rPr>
        <w:t>专业参考目录</w:t>
      </w:r>
    </w:p>
    <w:tbl>
      <w:tblPr>
        <w:tblW w:w="843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5"/>
        <w:gridCol w:w="2190"/>
        <w:gridCol w:w="2748"/>
        <w:gridCol w:w="28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95" w:hRule="atLeast"/>
          <w:jc w:val="center"/>
        </w:trPr>
        <w:tc>
          <w:tcPr>
            <w:tcW w:w="615" w:type="dxa"/>
            <w:tcBorders>
              <w:top w:val="single" w:color="auto" w:sz="12"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序号</w:t>
            </w:r>
          </w:p>
        </w:tc>
        <w:tc>
          <w:tcPr>
            <w:tcW w:w="1695" w:type="dxa"/>
            <w:tcBorders>
              <w:top w:val="single" w:color="auto" w:sz="12"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drawing>
                <wp:inline distT="0" distB="0" distL="114300" distR="114300">
                  <wp:extent cx="1123950" cy="12096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123950" cy="1209675"/>
                          </a:xfrm>
                          <a:prstGeom prst="rect">
                            <a:avLst/>
                          </a:prstGeom>
                          <a:noFill/>
                          <a:ln w="9525">
                            <a:noFill/>
                          </a:ln>
                        </pic:spPr>
                      </pic:pic>
                    </a:graphicData>
                  </a:graphic>
                </wp:inline>
              </w:drawing>
            </w:r>
            <w:r>
              <w:rPr>
                <w:rFonts w:hint="eastAsia" w:ascii="黑体" w:hAnsi="宋体" w:eastAsia="黑体" w:cs="黑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eastAsia" w:ascii="黑体" w:hAnsi="宋体" w:eastAsia="黑体" w:cs="黑体"/>
                <w:sz w:val="21"/>
                <w:szCs w:val="21"/>
                <w:bdr w:val="none" w:color="auto" w:sz="0" w:space="0"/>
              </w:rPr>
              <w:t>   学历层次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sz w:val="21"/>
                <w:szCs w:val="21"/>
              </w:rPr>
            </w:pPr>
            <w:r>
              <w:rPr>
                <w:rFonts w:hint="eastAsia" w:ascii="黑体" w:hAnsi="宋体" w:eastAsia="黑体" w:cs="黑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315"/>
              <w:rPr>
                <w:sz w:val="21"/>
                <w:szCs w:val="21"/>
              </w:rPr>
            </w:pPr>
            <w:r>
              <w:rPr>
                <w:rFonts w:hint="eastAsia" w:ascii="黑体" w:hAnsi="宋体" w:eastAsia="黑体" w:cs="黑体"/>
                <w:sz w:val="21"/>
                <w:szCs w:val="21"/>
                <w:bdr w:val="none" w:color="auto" w:sz="0" w:space="0"/>
              </w:rPr>
              <w:t>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eastAsia" w:ascii="黑体" w:hAnsi="宋体" w:eastAsia="黑体" w:cs="黑体"/>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1"/>
                <w:szCs w:val="21"/>
              </w:rPr>
            </w:pPr>
            <w:r>
              <w:rPr>
                <w:rFonts w:hint="eastAsia" w:ascii="黑体" w:hAnsi="宋体" w:eastAsia="黑体" w:cs="黑体"/>
                <w:sz w:val="21"/>
                <w:szCs w:val="21"/>
                <w:bdr w:val="none" w:color="auto" w:sz="0" w:space="0"/>
              </w:rPr>
              <w:t>专业大类</w:t>
            </w:r>
          </w:p>
        </w:tc>
        <w:tc>
          <w:tcPr>
            <w:tcW w:w="2970" w:type="dxa"/>
            <w:tcBorders>
              <w:top w:val="single" w:color="auto" w:sz="12"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研究生</w:t>
            </w:r>
          </w:p>
        </w:tc>
        <w:tc>
          <w:tcPr>
            <w:tcW w:w="3135" w:type="dxa"/>
            <w:tcBorders>
              <w:top w:val="single" w:color="auto" w:sz="12"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本科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1</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中文文秘类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文艺学，语言学及应用语言学，汉语言文字学，中国古典文献学，中国古代文学，中国现当代文学，中国少数民族语言文学（分语族），比较文学与世界文学，新闻学，传播学，新闻与传播，史学理论及史学史，考古学及博物馆学，历史地理学，历史文献学（含敦煌学、古文字学），哲学，专门史，中国古代史，中国近现代史，世界史，出版，学科教学（历史），学科教学（语文），中国文学与文化，中国语言文学，汉语国际教育，中国史，考古学，新闻传播学，文物与博物馆</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汉语言文学，汉语言，对外汉语，中国少数民族语言文学（可注明藏、蒙、维、朝、哈等语言文学），古典文献，中国语言文化，应用语言学，古典文献学，新闻学，广播电视新闻，广播电视编导，广播电视新闻学，广告学，编辑出版学，传播学，媒体创意，广播电视学，网络与新媒体，数字出版，秘书学，历史学，哲学，世界史，世界历史，考古学，博物馆学，文物与博物馆学，文物保护技术，汉语国际教育，文物鉴赏与修复，高级文秘，汉语言文学教育，文秘教育，思想政治教育，新媒体与信息网络，戏剧影视文学，播音与主持艺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2</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艺术类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艺术学，音乐学，舞蹈学，戏剧戏曲学，电影学，广播电视艺术学，广播电视，美术学，设计艺术学，艺术，文物与博物馆，设计学，艺术设计，戏剧与影视学，美术，考古学，工业设计工程，艺术学理论，音乐与舞蹈学</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艺术学，艺术史论，艺术与科技，公共艺术，音乐学，作曲与作曲技术理论，音乐表演，舞蹈学，舞蹈编导，舞蹈表演，音乐科技与艺术，戏剧学，戏剧影视文学，动画，影视摄制，播音与主持艺术，广播电视编导，广播影视编导，书法学，照明艺术，会展艺</w:t>
            </w:r>
            <w:r>
              <w:rPr>
                <w:rFonts w:ascii="Helvetica" w:hAnsi="Helvetica" w:eastAsia="Helvetica" w:cs="Helvetica"/>
                <w:sz w:val="21"/>
                <w:szCs w:val="21"/>
                <w:bdr w:val="none" w:color="auto" w:sz="0" w:space="0"/>
              </w:rPr>
              <w:t>金融</w:t>
            </w:r>
            <w:r>
              <w:rPr>
                <w:rFonts w:hint="eastAsia" w:ascii="宋体" w:hAnsi="宋体" w:eastAsia="宋体" w:cs="宋体"/>
                <w:sz w:val="18"/>
                <w:szCs w:val="18"/>
                <w:bdr w:val="none" w:color="auto" w:sz="0" w:space="0"/>
              </w:rPr>
              <w:t>术与技术，表演，导演，录音艺术，影视学，影视艺术技术，数字媒体艺术，电影学，戏剧影视导演，摄影，数字媒体，绘画，雕塑，美术学，中国画，中国画与书法，艺术设计学，艺术设计，戏剧影视美术设计，文物鉴赏与修复，工艺美术，工业设计，视觉传达设计，视觉传达，环境设计，产品设计，服装与服饰设计，影视摄影与制作，文物与博物馆学，考古学，博物馆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3</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法律类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法学理论，法律史，宪法学与行政法学，刑法学，民商法学（含：劳动法学、社会保障法学），诉讼法，诉讼法学，经济法学，环境与资源保护法学，国际法学（含：国际公法、国际私法、国际经济法），军事法学，法学，法律，法律硕士，法律（法学），法律（非法学），法律硕士（法学），法律硕士（非法学），知识产权法学，国际法，经济法，比较法学</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法学，知识产权，监狱学，律师，知识产权法，民商法，法律，法学（法务会计），海商法学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4</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社会政治类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马克思主义哲学，中国哲学，外国哲学，逻辑学，伦理学，美学，宗教学，科学技术哲学，宗教哲学，哲学，政治学理论，政治学，中外政治制度，科学社会主义与国际共产主义运动，中共党史（含：党的学说与党的建设），国际政治，国际关系，外交学，社会学，人口学，人才学、人类学，民俗学（含：中国民间文学），社会保障，民族学，中国少数民族经济，中国少数民族史，中国少数民族艺术，马克思主义基本原理，马克思主义民族理论与政策，马克思主义发展史，马克思主义中国化研究，国外马克思主义研究，思想政治教育，中国近现代史基本问题研究，马克思主义理论，史学理论及史学史，考古学及博物馆学，文物与博物馆，历史地理学，历史文献学，专门史，中国古代史，中国近现代史，世界史，图书馆学，情报学，档案学，图书情报，图书情报与档案管理，社会工作，中国史，考古学</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哲学，逻辑学，宗教学，伦理学，政治学与行政学，国际政治，外交学，思想政治教育，国际文化交流，国际政治经济学，国际事务，国际事务与国际关系，政治学、经济学与哲学，社会学，社会工作，家政学，人类学，女性学，民族学，科学社会主义与国际共产主义运动，中国革命史与中国共产党党史，科学社会主义，中国共产党党史，中国共产党历史，历史学，世界历史，考古学，博物馆学，文物保护技术，图书馆学，档案学，信息资源管理，劳动与社会保障，劳动和社会保障，档案管理，社会工作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5</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经济类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政治经济学，经济思想史，经济史，西方经济学，世界经济，人口、资源与环境经济学，国民经济学，区域经济学，财政学（含税收学），税务，金融学（含保险学），产业经济学，国际贸易学，劳动经济学，统计学，数量经济学，国防经济，技术经济及管理，农业经济管理，林业经济管理，农林经济管理，渔业经济管理，教育经济与管理，应用统计，金融，保险，资产评估，国际贸易，农村与区域发展，中国少数民族经济，国际商务，金融学，理论经济学，应用经济学，企业管理，工商管理，工商管理硕士</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经济学，国际经济与贸易，财政学，金融学，国民经济管理，贸易经济，保险，金融工程，税务，信用管理，网络经济学，体育经济，投资学，环境资源与发展经济学，资源与环境经济学，海洋经济学，国际文化贸易，会展经济与管理，经济与行政管理，经济与工商管理，工商管理，经济统计学，商务经济学，能源经济，保险学，金融数学，经济与金融，农业经济管理，林业经济管理，农林经济管理，农村区域发展，渔业经济管理，资产评估，现代农业管理，金融管理，国际市场营销，金融保险，国际贸易，市场营销，金融，统计学，税收学，国际商务，电子商务，工程造价，工程管理，财务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6</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公共管理类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管理科学与工程，行政管理，社会医学与卫生事业管理，教育经济与管理，社会保障，社会工作，社会学，土地资源管理，图书馆学，情报学，档案学，农业经济管理，林业经济管理，渔业经济管理，公共管理，图书情报与档案管理，图书情报，人力资源管理，工程管理，项目管理，教育领导与管理，农村与区域发展，教育管理，公共管理硕士，工商管理，旅游管理，工商管理硕士，政治学理论，企业管理</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国民经济管理，信用管理，海关管理，海事管理，海洋管理，边防管理，公安管理学，管理科学，信息管理与信息系统，管理科学工程，人力资源管理，行政管理，政治学与行政学，公共事业管理，工商管理，市场营销，旅游管理，社会保障，劳动与社会保障，劳动和社会保障，土地资源管理，公共关系学，公共政策学，城市管理，公共管理，文化产业管理，文化艺术事业管理，会展经济与管理，国防教育与管理，航运管理，劳动关系，公共安全管理，体育管理，体育产业管理，食品经济管理，农业经济管理，现代农业管理，林业经济管理，渔业经济管理，农林经济管理，农村区域发展，信息资源管理，资源环境与城乡规划管理，农村行政管理，乡镇企业管理，城市管理与监察，工商行政管理，管理科学与工程，交通管理，图书馆学，档案学，保密管理，管理工程，档案管理，卫生事业管理，经济与行政管理，工程管理，社会工作，社会学，行政管理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7</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工商管理类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管理科学与工程，会计学，会计，会计硕士，企业管理（含：财务管理、市场营销，旅游管理，技术经济及管理，人力资源管理），工程管理，项目管理，工商管理, 工商管理硕士，工业工程，物流工程，国际商务</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工业工程，工程管理，工程造价，工程造价管理，房地产经营管理，产品质量工程，项目管理，工商管理，市场营销，财务管理，人力资源管理，文化产业管理，旅游管理，商品学，审计学，电子商务，物流，电子商务物流，物流管理，物流工程，国际物流，物流与供应链管理，国际商务，特许经营管理，连锁经营管理，资产评估，商务策划管理，酒店管理，物业管理，物业设施管理，会计学，管理科学，管理科学与工程，劳动关系，采购管理，标准化工程，质量管理工程，房地产开发与管理，保密管理，会展经济与管理，体育经济与管理，金融管理，国际市场营销，管理工程，金融保险，经济与行政管理，市场营销教育，财务会计教育，销售管理，商务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13</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教育类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教育学原理，课程与教学论，教育史，比较教育学，比较教育史，学前教育学，小学教育学，高等教育学，成人教育学，职业技术教育学，特殊教育学，教育技术学，现代教育技术，思想政治教育，基础心理学，发展与教育心理学，应用心理学，心理学，</w:t>
            </w:r>
            <w:r>
              <w:rPr>
                <w:rFonts w:hint="default" w:ascii="Helvetica" w:hAnsi="Helvetica" w:eastAsia="Helvetica" w:cs="Helvetica"/>
                <w:color w:val="333333"/>
                <w:sz w:val="21"/>
                <w:szCs w:val="21"/>
                <w:bdr w:val="none" w:color="auto" w:sz="0" w:space="0"/>
              </w:rPr>
              <w:t>心理健康教育</w:t>
            </w:r>
            <w:r>
              <w:rPr>
                <w:rFonts w:hint="eastAsia" w:ascii="宋体" w:hAnsi="宋体" w:eastAsia="宋体" w:cs="宋体"/>
                <w:color w:val="333333"/>
                <w:sz w:val="21"/>
                <w:szCs w:val="21"/>
                <w:bdr w:val="none" w:color="auto" w:sz="0" w:space="0"/>
              </w:rPr>
              <w:t>，</w:t>
            </w:r>
            <w:r>
              <w:rPr>
                <w:rFonts w:hint="eastAsia" w:ascii="宋体" w:hAnsi="宋体" w:eastAsia="宋体" w:cs="宋体"/>
                <w:sz w:val="18"/>
                <w:szCs w:val="18"/>
                <w:bdr w:val="none" w:color="auto" w:sz="0" w:space="0"/>
              </w:rPr>
              <w:t>体育人文社会学，运动人体科学，体育教育训练学，民族传统体育学，体育学，体育教学，教育，教育学，汉语国际教育，体育，应用心理，学科教学（分学科），教育管理，运动训练，学前教育，教育法学，各类师范专业</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教育学，学前教育，特殊教育，教育技术学，小学教育，小学教育学，艺术教育，人文教育，科学教育，言语听觉科学，华文教育，心理学，应用心理学，心理健康教育，体育教育，音乐教育，运动训练，社会体育，运动人体科学，民族传统体育，运动康复，运动康复与健康，休闲体育，社会体育指导与管理，武术与民族传统体育，运动科学，农艺教育，园艺教育，特用作物教育，畜禽生产教育，水产养殖教育，应用生物教育，农产品储运与加工教育，农业经营管理教育，机械制造工艺教育，机械维修及检测技术教育，机电技术教育，电气技术教育，汽车维修工程教育，应用电子技术教育，食品工艺教育，建筑工程教育，服装设计与工艺教育，装潢设计与工艺教育，旅游管理与服务教育，食品营养与检验教育，烹饪与营养教育，财务会计教育，文秘教育，市场营销教育，职业技术教育管理，教育技术，汉语言文学教育，汉语国际教育，思想政治教育，各类师范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14</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外国语言文学类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英语语言文学，俄语语言文学，法语语言文学，德语语言文学，日语语言文学，印度语言文学，西班牙语语言文学，阿拉伯语语言文学，欧洲语言文学，亚非语言文学，外国语言学及应用语言学，学科教学（英语），翻译，英语口译，英语笔译，日语笔译，日语口译，外国语言文学</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语，塞尔维亚—克罗地亚语，塞尔维亚语—克罗地亚语，土耳其语，希腊语，匈牙利语，意大利语，捷克－斯洛伐克语，捷克语－斯洛伐克语，泰米尔语，普什图语，世界语，孟加拉语，尼泊尔语，克罗地亚语，爱尔兰语，荷兰语，芬兰语，乌克兰语，挪威语，丹麦语，立陶宛语，爱沙尼亚语，马耳他语，拉脱维亚语，斯洛文尼亚语，哈萨克语，乌兹别克语，祖鲁语，冰岛语，翻译，商贸英语，生物医学英语，英语翻译，经贸英语，外贸英语，英语（师范），商务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17</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计算机（大类）类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计算机系统结构，计算机应用技术，系统工程，计算机技术，计算机科学与技术，专业大类序号为18、19、20的所有专业</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计算机科学与技术，电子与计算机工程，空间信息与数字技术，计算机通信工程，电子商务，计算机及应用，专业大类序号为18、19、20的所有专业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18</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计算机（软件）类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计算机软件与理论，软件工程，计算机科学与技术</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计算机软件，软件工程，计算机应用软件，信息与计算科学，信息管理与信息系统，数字媒体技术，信息技术应用与管理，计算机科学与技术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19</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计算机（网络管理）类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pP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网络工程，物联网工程，信息安全，计算机科学与技术，信息管理与信息系统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20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电子信息类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物理电子学，电路与系统，微电子学与固体电子学，电磁场与微波技术，通信与信息系统，信号与信息处理，电子科学与技术，电子与通信工程，信息与通信工程，计算机科学与技术，控制科学与工程，现代教育技术，集成电路工程，光学工程，农业信息化，控制理论与控制工程，模式识别与智能系统</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电子信息工程，通信工程，计算机通信工程，计算机科学与技术，电子科学与技术，电子信息科学与技术，信息工程，信息显示与光电技术，电路与系统，集成电路设计与集成系统，光电信息工程，广播电视工程，电气信息工程，微电子制造工程，医学信息工程，信息物理工程，智能科学与技术，数字媒体技术，医学影像工程，真空电子技术，电磁场与无线技术，微电子，微电子学，光电信息科学与技术，科技防卫，信息安全，信息科学技术，光电子技术科学，光信息科学与技术，假肢矫形工程，微电子科学与工程，水声工程，电子封装技术，电波传播与天线，数字媒体艺术，光电信息科学与工程，信息管理与信息系统，信息技术应用与管理，会计信息技术，电子工程，电子信息技术，电子信息，生物医学工程，自动化，应用电子技术教育，教育技术学，测控技术与仪器，信息对抗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21</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机电控制类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电机与电器，电力系统及其自动化，高电压与绝缘技术，电力电子与电力传动，电工理论与新技术，控制理论与控制工程，检测技术与自动化装置，系统工程，模式识别与智能系统，导航、制导与控制，精密仪器及机械，测试计量技术及仪器，控制工程，电气工程，控制科学与工程，农业电气化与自动化，机械电子工程，仪器科学与技术，仪器仪表工程</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电气工程及其自动化，电气工程与自动化，自动化，工业电气自动化，电力工程与管理，农业电气化与自动化，测控技术与仪器，电子信息技术及仪器，智能电网信息工程，光源与照明，微机电系统工程，轨道交通信号与控制，过程装备与控制工程，材料成型及控制工程，工业自动化，电气自动化，电气工程与智能控制，机械电子工程，自动化（数控技术），机械设计制造及其自动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22</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机械工程类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机械制造及其自动化，机械电子工程，机械设计及理论，车辆工程，工程热物理，热能工程，动力机械及工程，流体机械及工程，制冷及低温工程，化工过程机械，控制工程，控制理论与控制工程，工业设计工程，控制科学与工程，机械工程，工业工程，农业机械化工程，精密仪器及机械，动力工程及工程热物理</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机械设计制造及自动化，机械制造及自动化，材料成型及控制工程，工业设计，过程装备与控制工程，自动化，机械工程及自动化，机械工程及其自动化，车辆工程，机械电子工程，汽车服务工程，制造自动化与测控技术，测控技术与仪器，微机电系统工程，制造工程，体育装备工程，医疗器械工程，农业机械化及其自动化，机械工程，机械工艺技术，标准化工程，质量管理工程，自动化（数控技术），数控加工与模具设计，工业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39</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生物工程类</w:t>
            </w:r>
          </w:p>
        </w:tc>
        <w:tc>
          <w:tcPr>
            <w:tcW w:w="29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植物学，动物学，生理学，生物学，水生生物学，微生物学，神经生物学，遗传学，发育生物学，细胞生物学，生物化学与分子生物学，生物物理学，生态学，生物医学工程，生物工程，生物化工，生物学，发酵工程</w:t>
            </w:r>
          </w:p>
        </w:tc>
        <w:tc>
          <w:tcPr>
            <w:tcW w:w="313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生物工程，生物医学工程，轻工生物技术，植物资源工程，应用生物科学，假肢矫形工程，生物科学，生物技术，生物信息学，生物信息技术，生物科学与生物技术，动植物检疫，生物化学与分子生物学，医学信息学，植物生物技术，动物生物技术，生物资源科学，生物安全，生物制药，化学生物学，海洋资源开发技术，生态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15" w:type="dxa"/>
            <w:tcBorders>
              <w:top w:val="single" w:color="auto" w:sz="6" w:space="0"/>
              <w:left w:val="single" w:color="auto" w:sz="12" w:space="0"/>
              <w:bottom w:val="single" w:color="auto" w:sz="12"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47</w:t>
            </w:r>
          </w:p>
        </w:tc>
        <w:tc>
          <w:tcPr>
            <w:tcW w:w="1695" w:type="dxa"/>
            <w:tcBorders>
              <w:top w:val="single" w:color="auto" w:sz="6" w:space="0"/>
              <w:left w:val="single" w:color="auto" w:sz="6" w:space="0"/>
              <w:bottom w:val="single" w:color="auto" w:sz="12"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21"/>
                <w:szCs w:val="21"/>
              </w:rPr>
            </w:pPr>
            <w:r>
              <w:rPr>
                <w:rFonts w:hint="eastAsia" w:ascii="黑体" w:hAnsi="宋体" w:eastAsia="黑体" w:cs="黑体"/>
                <w:sz w:val="21"/>
                <w:szCs w:val="21"/>
                <w:bdr w:val="none" w:color="auto" w:sz="0" w:space="0"/>
              </w:rPr>
              <w:t>基础理学类</w:t>
            </w:r>
          </w:p>
        </w:tc>
        <w:tc>
          <w:tcPr>
            <w:tcW w:w="2970" w:type="dxa"/>
            <w:tcBorders>
              <w:top w:val="single" w:color="auto" w:sz="6" w:space="0"/>
              <w:left w:val="single" w:color="auto" w:sz="6" w:space="0"/>
              <w:bottom w:val="single" w:color="auto" w:sz="12"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基础数学，计算数学，概率论与数理统计，应用数学，运筹学与控制论，理论物理，粒子物理与原子核物理，原子与分子物理，等离子体物理，凝聚态物理，声学，光学，光学工程，无线电物理，无机化学，分析化学，有机化学，物理化学，化学物理，高分子化学与物理，天体物理，天体测量与天体力学，自然地理学，人文地理学，地理学，地图学与地理信息系统，物理海洋学，海洋化学，海洋生物学，海洋地质，气象学，大气物理学与大气环境，生态学，固体地球物理学，空间物理学，地质学，矿物学、岩石学、矿床学，地球化学，古生物学与地层学（含：古人类学），构造地质学，第四纪地质学，植物学，动物学，生理学，水生生物学，微生物学，神经生物学，遗传学，发育生物学，细胞生物学，生物化学与分子生物学，生物物理学，系统理论，系统分析与集成，科学技术史，一般力学与力学基础，固体力学，流体力学，工程力学，力学，数学，生物学，系统科学，农药学，生物工程</w:t>
            </w:r>
          </w:p>
        </w:tc>
        <w:tc>
          <w:tcPr>
            <w:tcW w:w="3135" w:type="dxa"/>
            <w:tcBorders>
              <w:top w:val="single" w:color="auto" w:sz="6" w:space="0"/>
              <w:left w:val="single" w:color="auto" w:sz="6" w:space="0"/>
              <w:bottom w:val="single" w:color="auto" w:sz="12" w:space="0"/>
              <w:right w:val="single" w:color="auto" w:sz="12"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sz w:val="21"/>
                <w:szCs w:val="21"/>
              </w:rPr>
            </w:pPr>
            <w:r>
              <w:rPr>
                <w:rFonts w:hint="eastAsia" w:ascii="宋体" w:hAnsi="宋体" w:eastAsia="宋体" w:cs="宋体"/>
                <w:sz w:val="18"/>
                <w:szCs w:val="18"/>
                <w:bdr w:val="none" w:color="auto" w:sz="0" w:space="0"/>
              </w:rPr>
              <w:t>数学与应用数学，数学及应用数学，信息与计算科学，数理基础科学，物理学，应用物理学，声学，核物理，化学，应用化学，材料化学，化学生物学，分子科学与工程，天文学，地理科学，资源环境与城乡规划管理，自然地理与资源环境，人文地理与城乡规划，地理信息系统，地理信息科学，地球信息科学与技术，海洋科学，海洋技术，海洋管理，军事海洋学，海洋生物资源与环境，海洋资源与环境，大气科学，应用气象学，地球物理学，地球与空间科学，空间科学与技术，地质学，地球化学，古生物学，生物科学，生物技术，生物信息学，生物信息技术，生物科学与生物技术，动植物检疫，生物化学与分子生物学，医学信息学，植物生物技术，动物生物技术，生物资源科学，生物安全，生态学，系统理论，系统科学与工程，理论与应用力学，工程力学，测控技术与仪器，应用心理学</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rPr>
          <w:rFonts w:hint="eastAsia" w:ascii="宋体" w:hAnsi="宋体" w:eastAsia="宋体" w:cs="宋体"/>
          <w:i w:val="0"/>
          <w:caps w:val="0"/>
          <w:color w:val="3D3D3D"/>
          <w:spacing w:val="0"/>
          <w:sz w:val="21"/>
          <w:szCs w:val="21"/>
        </w:rPr>
      </w:pPr>
      <w:r>
        <w:rPr>
          <w:rFonts w:ascii="Calibri" w:hAnsi="Calibri" w:eastAsia="宋体" w:cs="Calibri"/>
          <w:i w:val="0"/>
          <w:caps w:val="0"/>
          <w:color w:val="3D3D3D"/>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嘉善县教育高层次人才目录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both"/>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一、国家级高端人才（A类）：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0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1.国家“万人计划”领军人才（教学名师领军人才）、国家“万人计划”青年拔尖人才：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0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2.国家级教学名师。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二、省级高端人才（B类）：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1.浙江省“万人计划”领军人才（教学名师领军人才）、浙江省“万人计划”青年拔尖人才；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2.浙江省突出贡献中青年专家、浙江省“151”人才工程重点资助和第一、第二层次培养人选、省特级教师。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三、紧缺高级人才（C类）：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浙江省“151”人才工程第三层次培养人选，嘉兴市杰出人才重点资助和第一层次培养人选，嘉兴市教育名家，中小学（幼儿园）正高级教师；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2.全日制教育类博士研究生；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3.指导学生在高中数学、物理、化学、生物、信息学奥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林匹克竞赛中多次获得全国一、二等奖（3次以上）且在行业内有较高知名度的优秀竞赛指导教师。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四、高级人才(D类)：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1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1.全日制硕士研究生（本科背景须为全日制普通高校第一批录取专业）；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2.北京大学、清华大学、复旦大学、上海交通大学、南京大学、浙江大学、中国科学技术大学、哈尔滨工业大学、西安交通大学和北京师范大学、华东师范大学全日制文理类本科应届毕业生；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1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3.指导学生在高中数学、物理、化学、生物或信息学奥林匹克竞赛中多次获得省级一等奖以上（至少5人次）且为主要指导教师。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1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五、紧缺人才（E类）：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中国人民大学、北京航空航天大学、北京理工大学、中国农业大学、中央民族大学、南开大学、天津大学、大连理工大学、吉林大学、同济大学、东南大学、厦门大学、山东大学、中国海洋大学、武汉大学、华中科技大学、中南大学、中山大学、华南理工大学、四川大学、重庆大学、电子科技大学、西北工业大学、兰州大学、国防科技大学全日制文理类本科应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2.指导学生在全国职业技能大赛中多次获得金牌（至少5人次）且为主要指导教师。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以上人才新引进或招录后须持续从事相关专业工作，且被聘任为相对应级别专业技术职务。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附件5：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嘉善县“文教卫紧缺专业技术人才住房券”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管理和使用暂行办法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第一条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为深入实施人才强县战略，壮大优质人才基数，引入我县文教卫系统紧缺的专业技术人才，结合《中共嘉善县委嘉善县人民政府关于打造最优人才生态、促进县域人才创业创新高地建设的若干意见》(善委发〔2017〕12号)文件精神，特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第二条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“文教卫紧缺专业技术人才住房券”（以下简称“文教卫人才住房券”）可兑现面值等额的购房款，既适用于购买的商品住房，也适用于购买的人才福利房。购买人才福利房的，还可享受最大面积内8折优惠。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第三条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“文教卫人才住房券”的兑现仅限于2019年1月1日以后首次在嘉善县购置的房产。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第二章</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发放对象及基本条件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第四条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发放对象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在我县文化系统群众文化、文物博物、工艺美术、体育教练、图书资料、艺术岗位，县属教育系统教学岗位，卫生系统医、药、护、技等卫生专业技术岗位，全职工作且符合发放对象目录的专业技术人才（定向培养生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第五条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申请“文教卫人才住房券”的人才应同时具备以下三个基本条件：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（一）2019年1月1日以后新引进或招录的紧缺专业技术人才，文化、教育、卫生系统以正式签订事业单位聘用合同日期为准；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（二）新引进或招录后持续从事相关专业技术工作，且被聘任为相对应级别专业技术职务；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（三）在我县按时连续缴纳社会保险达到相应年份。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center"/>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第三章 申领标准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第六条10类人才的申领标准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（一）国家级高端人才：缴纳社会保险满1年，可申领“文教卫人才住房券”面值100万元。购买人才福利房可享受优惠的最大面积为120平方米。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（二）省级高端人才：缴纳社会保险满1年，可申领“文教卫人才住房券”面值80万元。购买人才福利房可享受优惠的最大面积为120平方米。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（三）市级高端人才：缴纳社会保险满1年，可申领“文教卫人才住房券”面值60万元。购买人才福利房可享受优惠的最大面积为120平方米。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（四）高级人才：缴纳社会保险满1年，可申领“文教卫人才住房券”面值35万元。购买人才福利房可享受优惠的最大面积为120平方米。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（五）正高级职称人才：缴纳社会保险满1年，可申领“文教卫人才住房券”面值35万元。购买人才福利房可享受优惠的最大面积为120平方米。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（六）副高级职称人才：缴纳社会保险满1年，可申领“文教卫人才住房券”面值30万元。购买人才福利房可享受优惠的最大面积为120平方米。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（七）全日制博士研究生：缴纳社会保险满1年，可申领“文教卫人才住房券”面值30万元。购买人才福利房可享受优惠的最大面积为120平方米。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（八）全日制硕士研究生（教育系统另含部分“一流大学建设高校”全日制文理类本科）：缴纳社会保险满2年，可申领“文教卫人才住房券”面值25万元。购买人才福利房可享受优惠的最大面积为100平方米。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九）“一流大学建设高校”全日制本科（教育系统为其他“一流大学建设高校”全日制文理类本科）：缴纳社会保险满3年，可申领“文教卫人才住房券”面值15万元。购买人才福利房可享受优惠的最大面积为80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十）医学类专业非“一流大学建设高校”全日制本科（独立学院除外）：缴纳社会保险满3年，且在县内公立医疗卫生机构工作满3年，可选择申领“文教卫人才住房券”面值10万元，或可选择购买8折优惠的人才福利房，优惠最大面积为80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center"/>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第四章 发放和兑现程序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第七条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提交申请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申请人通过在线平台（嘉善县人才服务智慧管理平台）向主管部门提交申请，经主管部门初步审查后由县人力社保局进行认定，经认定后，主管部门将通过人员名单在本系统内公示5个工作日。公示无异议后，由主管部门汇总申请人所需纸质材料统一提交县人力社保局进行复核，申请人需提供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（一）个人申请表；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（二）申请人身份证件原件及复印件；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学历学位证书原件及复印件，其中，国内学历提供《教育部学历证书电子注册备案表》，国外学历、学位提供教育部留学服务中心认证的《国外学历学位认证书》，港、澳、台地区学历、学位提供教育部留学服务中心认证的《港澳台学历学位认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（四）事业单位聘用合同原件及复印件；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（五）教育专业技术人才提供教师资格证书原件及复印件，卫生专业技术人才提供相关资格证书原件及复印件；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（六）高级职称人才提供相应的职称证书原件及复印件；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（七）高级以上人才提供相应层次的证明材料原件及复印件；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（八）夫妻双方都符合申领标准的，提供结婚证原件及复印件。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申领“文教卫人才住房券”涉及的个人住房状况经申请人授权后由县建设局、县自然资源规划局代为查询，参保信息、岗位聘任情况经申请人授权后由县人力社保局代为查询。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第八条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审核发放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县人力社保局逐一核查申请人材料，经确认后，集中向社会公示5个工作日。公示无异议后，按照人才类别选择相应“文教卫人才住房券”进行编号登记。“文教卫人才住房券”由主管部门统一领取后发放至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第九条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兑现方式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申请人购房后，申请人统一于每季度首月的1-15日，持购房全款发票、不动产权证(或购房合同)、“文教卫人才住房券”向县人力社保局申请兑现，申请兑现时申请人必须全职在嘉善工作。经核查无误的，分次逐年兑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（一）按照“文教卫人才住房券”面值金额4:3:3的比例，分三年兑现到位，直接汇入申请人个人账户；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（二）购买人才福利房的，20%的优惠部分，按照4:3:3比例分三年兑现到位，直接汇入申请人个人账户；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（三）兑现额度不得超过购房发票金额，已领取租房补贴的，在兑现第一笔购房补贴金额时扣除相应额度资金；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（四）已部分或全部兑现“文教卫人才住房券”的，不再变更申请额度。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第五章 使用要求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“文教卫人才住房券”实行实名制管理，仅限申请人本人使用，且房屋所有权须为申请人一人或与配偶、子女、父母共同所有。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第十一条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申请人调离“第四条 发放对象”所列专业技术岗位的，申领的“文教卫人才住房券”即行失效。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第十二条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“文教卫人才住房券”有效期为5年，期满后未购房的，不可重新申请。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第十三条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主管部门和申请人须对申请材料的真实性负责。在不定期抽查中，如有弄虚作假、骗取“文教卫人才住房券”的，一经查实即取消该申请人的申领资格，追回相应资金，并追究相关当事人责任。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Times New Roman" w:hAnsi="Times New Roman" w:eastAsia="宋体" w:cs="Times New Roman"/>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第六章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第十四条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相关说明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48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（一）人才福利房：政府适时从持有的人才公寓中安排一定数量的房源作为人才福利房,面向人才出售。房源不足时，采用积分制形式进行人员排序，排序靠前者优先选房(积分相同者抽签决定)；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48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（二）“双一流高校”、“一流大学建设高校”：《关于公布世界一流大学和一流学科建设高校及建设学科名单的通知》（教研函〔2017〕2号）中明确的高校；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48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（三）在浙江省外取得高级职称的人员须办理调入审定；具有副高及以上专业技术资格的人员，在已实施自主评聘的单位，自引进之日起一年内须经评聘（审）会确认被聘任为相对应级别专业技术职务；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48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四）同一申请人更换用人单位前后，分别符合申请“文教卫人才住房券”或“企业人才住房券”条件，原人才住房券已兑付完毕的，不重复申领、不补差；未兑付完毕的，按最新岗位申领对应的人才住房券，仅可兑现剩余比例的补贴金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第十五条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夫妻双方都符合“文教卫人才住房券”申领标准的，各自为申请主体，购买人才福利房可享受优惠的最大面积就高计算，“文教卫人才住房券”面值可叠加使用。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夫妻双方分别符合“文教卫人才住房券”与“企业人才住房券”申领标准的，各自为申请主体，购买人才福利房可享受优惠的最大面积就高计算，两类“人才住房券”面值可叠加使用。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第十六条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2019年1月1日以后新引进的文化系统非事业在编人员，在我县缴纳社保，符合文化系统发放对象目录，且在我县工作期间获得党政部门颁发的国家级以上重要文化类奖项和荣誉的，可采取“一事一议”的方式，经县文化旅游体育局上报并提请县委人才办、县人力社保局研定具体资助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七条2019年1月1日以后新引进的文教卫事业在编紧缺专业技术人才，属高级以上人才但未被纳入发放对象目录的，可采取“一事一议”的方式，经主管部门上报并提请县委人才办、县人力社保局研定具体资助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第十八条2019年1月1日以后整体引进的文教卫人才团队中有3人及以上符合“文教卫人才住房券”申领条件的，可采取“一事一议”的方式，提供更加及时、高效、便捷的服务。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第十九条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文教卫系统发放对象目录中第1—8类高层次人才新引进或招录时间可放宽至2017年3月28日（《中共嘉善县委嘉善县人民政府关于打造最优人才生态、促进县域人才创业创新高地建设的若干意见》(善委发〔2017〕12号)文件发布日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第二十条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申领和兑现“文教卫人才住房券”，以引进时的人才类别为准，“一事一议”的除外。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64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第二十一条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“文教卫人才住房券”制度由县委人才办牵头，县人力社保局、县财政局、县文化旅游体育局、县教育局、县卫生健康局等部门联合组织实施。县人力社保局具体负责“文教卫人才住房券”的发放和管理。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585"/>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第二十二条</w:t>
      </w:r>
      <w:r>
        <w:rPr>
          <w:rFonts w:hint="default" w:ascii="Times New Roman" w:hAnsi="Times New Roman" w:eastAsia="宋体" w:cs="Times New Roman"/>
          <w:i w:val="0"/>
          <w:caps w:val="0"/>
          <w:color w:val="3D3D3D"/>
          <w:spacing w:val="0"/>
          <w:sz w:val="30"/>
          <w:szCs w:val="30"/>
          <w:bdr w:val="none" w:color="auto" w:sz="0" w:space="0"/>
          <w:shd w:val="clear" w:fill="FFFFFF"/>
        </w:rPr>
        <w:t> </w:t>
      </w:r>
      <w:r>
        <w:rPr>
          <w:rFonts w:hint="default" w:ascii="仿宋_GB2312" w:hAnsi="宋体" w:eastAsia="仿宋_GB2312" w:cs="仿宋_GB2312"/>
          <w:i w:val="0"/>
          <w:caps w:val="0"/>
          <w:color w:val="3D3D3D"/>
          <w:spacing w:val="0"/>
          <w:sz w:val="30"/>
          <w:szCs w:val="30"/>
          <w:bdr w:val="none" w:color="auto" w:sz="0" w:space="0"/>
          <w:shd w:val="clear" w:fill="FFFFFF"/>
        </w:rPr>
        <w:t>本办法自2019年8月1日起施行。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jc w:val="center"/>
        <w:rPr>
          <w:rFonts w:hint="eastAsia" w:ascii="宋体" w:hAnsi="宋体" w:eastAsia="宋体" w:cs="宋体"/>
          <w:i w:val="0"/>
          <w:caps w:val="0"/>
          <w:color w:val="3D3D3D"/>
          <w:spacing w:val="0"/>
          <w:sz w:val="21"/>
          <w:szCs w:val="21"/>
        </w:rPr>
      </w:pPr>
      <w:r>
        <w:rPr>
          <w:rFonts w:hint="eastAsia" w:ascii="黑体" w:hAnsi="宋体" w:eastAsia="黑体" w:cs="黑体"/>
          <w:i w:val="0"/>
          <w:caps w:val="0"/>
          <w:color w:val="3D3D3D"/>
          <w:spacing w:val="0"/>
          <w:sz w:val="31"/>
          <w:szCs w:val="31"/>
          <w:bdr w:val="none" w:color="auto" w:sz="0" w:space="0"/>
          <w:shd w:val="clear" w:fill="FFFFFF"/>
        </w:rPr>
        <w:t>教育系统发放对象目录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一、国家级高端人才：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1.国家级教学名师；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2.国家“万人计划”领军人才（教学名师领军人才）、国家“万人计划”青年拔尖人才。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二、省级高端人才：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1.省有突出贡献中青年专家、省“151”人才工程重点资助和第一、第二层次培养人选、省特级教师、省高校教学名师；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2.省“万人计划”领军人才（教学名师领军人才）、省“万人计划”青年拔尖人才；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3.全国优秀教师获得者、省杰出教师获得者。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三、市级高端人才：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省“151”人才工程第三层次培养人选，市杰出人才重点资助和第一层次培养人选，市名师名校长、市教育领军人才、市教育名家。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四、高级人才：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“南湖百杰”优秀人才、市杰出人才第二层次培养人选。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五、正高级职称人才。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六、副高级职称人才。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七、全日制博士研究生。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八、全日制硕士研究生（本科须为“双一流”高校）、部分“一流大学建设高校”全日制文理类本科（北京大学、清华大学、浙江大学、复旦大学、上海交通大学、南京大学、中国科学技术大学、哈尔滨工业大学、西安交通大学、北京师范大学、华东师范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九、其他“一流大学建设高校”全日制文理类本科。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95" w:lineRule="atLeast"/>
        <w:ind w:left="0" w:right="0" w:firstLine="0"/>
        <w:rPr>
          <w:rFonts w:hint="eastAsia" w:ascii="宋体" w:hAnsi="宋体" w:eastAsia="宋体" w:cs="宋体"/>
          <w:i w:val="0"/>
          <w:caps w:val="0"/>
          <w:color w:val="3D3D3D"/>
          <w:spacing w:val="0"/>
          <w:sz w:val="21"/>
          <w:szCs w:val="21"/>
        </w:rPr>
      </w:pPr>
      <w:r>
        <w:rPr>
          <w:rFonts w:hint="default" w:ascii="仿宋_GB2312" w:hAnsi="宋体" w:eastAsia="仿宋_GB2312" w:cs="仿宋_GB2312"/>
          <w:i w:val="0"/>
          <w:caps w:val="0"/>
          <w:color w:val="3D3D3D"/>
          <w:spacing w:val="0"/>
          <w:sz w:val="30"/>
          <w:szCs w:val="30"/>
          <w:bdr w:val="none" w:color="auto" w:sz="0" w:space="0"/>
          <w:shd w:val="clear" w:fill="FFFFFF"/>
        </w:rPr>
        <w:t>以上人才新引进或招录后须持有教师资格证书，持续从事教学工作，且被聘任为相对应级别专业技术职务。</w:t>
      </w:r>
    </w:p>
    <w:p>
      <w:pPr>
        <w:rPr>
          <w:rFonts w:hint="eastAsia" w:ascii="宋体" w:hAnsi="宋体" w:eastAsia="宋体" w:cs="宋体"/>
          <w:i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00B53"/>
    <w:rsid w:val="2B90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Emphasis"/>
    <w:basedOn w:val="7"/>
    <w:qFormat/>
    <w:uiPriority w:val="0"/>
  </w:style>
  <w:style w:type="character" w:styleId="11">
    <w:name w:val="Hyperlink"/>
    <w:basedOn w:val="7"/>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2020-10-19T10:55:00Z</dcterms:created>
  <dc:creator>Administrator</dc:creator>
  <cp:lastModifiedBy>Administrator</cp:lastModifiedBy>
  <dcterms:modified xsi:type="dcterms:W3CDTF">2020-10-19T11:04:08Z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