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附件2     </w:t>
      </w:r>
      <w:r>
        <w:rPr>
          <w:rFonts w:hint="eastAsia" w:ascii="黑体" w:hAnsi="黑体" w:eastAsia="黑体" w:cs="黑体"/>
          <w:sz w:val="44"/>
          <w:szCs w:val="44"/>
        </w:rPr>
        <w:t>新绛县20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事业单位引进高素质人才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3"/>
        <w:tblpPr w:leftFromText="180" w:rightFromText="180" w:vertAnchor="text" w:horzAnchor="page" w:tblpX="1286" w:tblpY="322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800"/>
        <w:gridCol w:w="850"/>
        <w:gridCol w:w="783"/>
        <w:gridCol w:w="1063"/>
        <w:gridCol w:w="3600"/>
        <w:gridCol w:w="348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905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3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双向选择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双向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选择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1.博士和副高及以上45周岁及以下；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2.硕士35周岁及以下。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博士研究生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国家教育部公布的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世界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一流大学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和一流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学科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建设的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硕士研究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具有副高及以上专业技术资格。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专业不限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3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中共新绛县委党校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35周岁及以下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全日制硕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士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（境内本科须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B及以上）。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国家教育部公布的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世界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一流大学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和一流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学科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建设的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本科毕业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zh-CN"/>
              </w:rPr>
              <w:t>哲学、政治学与马克思主义理论类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新绛中学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生物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具有本专业高中教师资格证的，专业不限。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英语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0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化学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4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数学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美术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6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政治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7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物理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8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体育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tabs>
          <w:tab w:val="left" w:pos="6610"/>
        </w:tabs>
        <w:bidi w:val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</w:rPr>
        <w:t>新绛县20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事业单位引进高素质人才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3"/>
        <w:tblpPr w:leftFromText="180" w:rightFromText="180" w:vertAnchor="text" w:horzAnchor="page" w:tblpX="1286" w:tblpY="322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800"/>
        <w:gridCol w:w="850"/>
        <w:gridCol w:w="783"/>
        <w:gridCol w:w="1050"/>
        <w:gridCol w:w="3598"/>
        <w:gridCol w:w="349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905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35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3034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新绛县经济技术开发区管委会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35周岁及以下</w:t>
            </w:r>
          </w:p>
        </w:tc>
        <w:tc>
          <w:tcPr>
            <w:tcW w:w="359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全日制硕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士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（境内本科须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B及以上）。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国家教育部公布的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世界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一流大学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和一流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学科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建设的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本科毕业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仿宋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环境工程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生态学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数学与统计类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汉语言与文秘类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新绛县职业教育中心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 xml:space="preserve"> 机械工程  机械制造及其自动化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 xml:space="preserve"> 控制工程  控制理论与控制工程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控制理论与控制工程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信息工程  信息与通信工程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新绛县应急管理局应急工作站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冶金工程 兵器工程 动力工程 材料工程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新绛县司法局法律援助中心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黑体" w:eastAsia="仿宋" w:cs="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法学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新绛县政协研究室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计算机技术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汉语言与文秘类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新绛县畜牧兽医发展中心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动物营养与饲料科学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中小企业信用担保服务中心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企业管理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新绛县国库支付局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技术经济与管理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计算机技术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新绛县人大法律咨询室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法学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会计学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新绛县医疗保险服务中心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社会医学与卫生事业管理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</w:rPr>
        <w:t>新绛县20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事业单位引进高素质人才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3"/>
        <w:tblpPr w:leftFromText="180" w:rightFromText="180" w:vertAnchor="text" w:horzAnchor="page" w:tblpX="1286" w:tblpY="322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780"/>
        <w:gridCol w:w="795"/>
        <w:gridCol w:w="810"/>
        <w:gridCol w:w="962"/>
        <w:gridCol w:w="2083"/>
        <w:gridCol w:w="331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896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新绛二中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35周岁及以下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报名者应具备下列条件之一：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全日制硕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士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（境内本科须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B及以上）。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国家教育部公布的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世界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一流大学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和一流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学科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建设的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本科毕业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5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化学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具有本专业高中教师资格证的，专业不限。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体育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生物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4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政治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1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新绛县统计局企业调查队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应用数学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新绛县水利局水利技术服务中心 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农业水利工程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新绛县供销合作联合社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国际市场营销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农业农村局蔬菜发展中心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农业资源利用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农业农村局农业技术推广中心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农业区域与发展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新绛县机关事务管理中心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社会工作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新绛县乡镇市场监督管理所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食品科学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食品质量与安全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新绛县农业综合开发中心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土木工程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新绛县信访局突发事件处置中心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汉语言与文秘类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新绛县失业保险服务中心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会计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新绛县政务服务中心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汉语言与文秘类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6610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BDCF0"/>
    <w:multiLevelType w:val="singleLevel"/>
    <w:tmpl w:val="E6EBDC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5726"/>
    <w:rsid w:val="03C7059F"/>
    <w:rsid w:val="04F17C07"/>
    <w:rsid w:val="093C1583"/>
    <w:rsid w:val="0A8B48BB"/>
    <w:rsid w:val="0AFF78CD"/>
    <w:rsid w:val="0B045B07"/>
    <w:rsid w:val="0B790FE7"/>
    <w:rsid w:val="0CDD6494"/>
    <w:rsid w:val="16965521"/>
    <w:rsid w:val="192A2EFD"/>
    <w:rsid w:val="1AD77AF3"/>
    <w:rsid w:val="1B10465A"/>
    <w:rsid w:val="1DBB4B81"/>
    <w:rsid w:val="21DB66DF"/>
    <w:rsid w:val="24A903DC"/>
    <w:rsid w:val="25125EFC"/>
    <w:rsid w:val="2A045F5F"/>
    <w:rsid w:val="2B264B75"/>
    <w:rsid w:val="2F58237C"/>
    <w:rsid w:val="30333444"/>
    <w:rsid w:val="3278007D"/>
    <w:rsid w:val="33912421"/>
    <w:rsid w:val="33DF5726"/>
    <w:rsid w:val="35641B9B"/>
    <w:rsid w:val="358802BF"/>
    <w:rsid w:val="35E65441"/>
    <w:rsid w:val="3C3D3EB1"/>
    <w:rsid w:val="3E612381"/>
    <w:rsid w:val="3FDE3642"/>
    <w:rsid w:val="40F51C21"/>
    <w:rsid w:val="410A58DE"/>
    <w:rsid w:val="41DD0768"/>
    <w:rsid w:val="42A91583"/>
    <w:rsid w:val="4A9B1CCF"/>
    <w:rsid w:val="4AD91BA3"/>
    <w:rsid w:val="4D18347D"/>
    <w:rsid w:val="4FD315D4"/>
    <w:rsid w:val="5099472B"/>
    <w:rsid w:val="52BF2D94"/>
    <w:rsid w:val="53507D52"/>
    <w:rsid w:val="5476213D"/>
    <w:rsid w:val="578D303B"/>
    <w:rsid w:val="58585298"/>
    <w:rsid w:val="58E66326"/>
    <w:rsid w:val="5BCB5A13"/>
    <w:rsid w:val="60B57F34"/>
    <w:rsid w:val="68075EEF"/>
    <w:rsid w:val="68B51965"/>
    <w:rsid w:val="69D60475"/>
    <w:rsid w:val="69DF0254"/>
    <w:rsid w:val="6A0A28BC"/>
    <w:rsid w:val="70151219"/>
    <w:rsid w:val="715A5828"/>
    <w:rsid w:val="74941837"/>
    <w:rsid w:val="78DF6489"/>
    <w:rsid w:val="7BF92CC5"/>
    <w:rsid w:val="7E4A5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2019-11-15T00:49:00Z</dcterms:created>
  <dc:creator>大海</dc:creator>
  <cp:lastModifiedBy>大海</cp:lastModifiedBy>
  <cp:lastPrinted>2020-10-15T04:08:00Z</cp:lastPrinted>
  <dcterms:modified xsi:type="dcterms:W3CDTF">2020-10-16T04:03:36Z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