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91"/>
        <w:gridCol w:w="564"/>
        <w:gridCol w:w="1307"/>
        <w:gridCol w:w="1055"/>
        <w:gridCol w:w="804"/>
        <w:gridCol w:w="1138"/>
        <w:gridCol w:w="17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8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岗位代码</w:t>
            </w:r>
          </w:p>
        </w:tc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60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学历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学位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2020174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神经生物学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博士研究生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45周岁以下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2020175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儿科学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博士研究生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40周岁以下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2020176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博士研究生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40周岁以下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专业技术（高级）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2020177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护理学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本科及以上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学士及以上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45周岁以下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五年及以上同级医院工作经历，儿科护理高级职称。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专业技术（高级）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2020178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本科:临床医学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研究生:妇产科学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本科及以上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学士及以上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45周岁以下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五年及以上同级医院工作经历，妇产科高级职称,产科方向。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专业技术（高级）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2020179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本科:中医学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研究生:中医儿科学、中医内科学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本科及以上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学士及以上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45周岁以下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五年及以上同级医院工作经历，中医儿科、中医内科高级职称。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专业技术（高级）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2020180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儿少卫生与妇幼保健学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博士研究生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博士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50周岁以下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五年及以上同级医院工作经历，小儿内科主任医师。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专业技术（高级）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2020181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14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本科:临床医学、医学影像学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研究生:儿科学、外科学、皮肤病与性病学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本科及以上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学士及以上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45周岁以下</w:t>
            </w:r>
          </w:p>
        </w:tc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五年及以上同级医院工作经历，小儿内科、骨外科、超声医学、皮肤与性病高级职称。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r>
        <w:rPr>
          <w:rFonts w:ascii="仿宋" w:hAnsi="仿宋" w:eastAsia="仿宋" w:cs="仿宋"/>
          <w:i w:val="0"/>
          <w:caps w:val="0"/>
          <w:color w:val="333333"/>
          <w:spacing w:val="0"/>
          <w:sz w:val="25"/>
          <w:szCs w:val="25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</w:rPr>
        <w:t>岗位表中的“45周岁以下”为“1974年11月23日（含）以后出生”（其他涉及年龄计算的依此类推）；工作经历要求，截止时间为2020年12月31日。因工作单位变化而中断时间的，其在不同单位工作的时间可以累计计算。在校学生在读期间参加勤工俭学、实习等不视为工作经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6A1D"/>
    <w:rsid w:val="336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2020-11-16T10:27:00Z</dcterms:created>
  <dc:creator>ぺ灬cc果冻ル</dc:creator>
  <cp:lastModifiedBy>ぺ灬cc果冻ル</cp:lastModifiedBy>
  <dcterms:modified xsi:type="dcterms:W3CDTF">2020-11-16T10:30:34Z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