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1273"/>
        <w:tblW w:w="14203" w:type="dxa"/>
        <w:tblCellSpacing w:w="1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985"/>
        <w:gridCol w:w="711"/>
        <w:gridCol w:w="1395"/>
        <w:gridCol w:w="769"/>
        <w:gridCol w:w="7422"/>
        <w:gridCol w:w="15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14" w:type="dxa"/>
        </w:trPr>
        <w:tc>
          <w:tcPr>
            <w:tcW w:w="1414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30"/>
                <w:szCs w:val="30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0"/>
                <w:szCs w:val="30"/>
              </w:rPr>
              <w:t xml:space="preserve">秦皇岛审计中心2020年县级行社招聘业务岗位劳务派遣工计划表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14" w:type="dxa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6"/>
                <w:szCs w:val="16"/>
              </w:rPr>
              <w:t>招聘     总数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6"/>
                <w:szCs w:val="16"/>
              </w:rPr>
              <w:t>岗位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6"/>
                <w:szCs w:val="16"/>
              </w:rPr>
              <w:t>招聘    人数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6"/>
                <w:szCs w:val="16"/>
              </w:rPr>
              <w:t>专业要求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16"/>
                <w:szCs w:val="16"/>
              </w:rPr>
              <w:t>学历要求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14" w:type="dxa"/>
        </w:trPr>
        <w:tc>
          <w:tcPr>
            <w:tcW w:w="13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市区联社</w:t>
            </w:r>
          </w:p>
        </w:tc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综合柜员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一般为经济学(门类)、金融学(类)、财务管理、会计学、计算机(类)等专业。</w:t>
            </w:r>
          </w:p>
        </w:tc>
        <w:tc>
          <w:tcPr>
            <w:tcW w:w="1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全日制普通类高等院校大学本科及以上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tblCellSpacing w:w="14" w:type="dxa"/>
        </w:trPr>
        <w:tc>
          <w:tcPr>
            <w:tcW w:w="1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本科学历报考人员法学、汉语言文学、人力资源管理、英语等部分专业控制在选用总人数的10%以内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（英语专业不超过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val="en-US" w:eastAsia="zh-CN"/>
              </w:rPr>
              <w:t>2名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。</w:t>
            </w:r>
          </w:p>
        </w:tc>
        <w:tc>
          <w:tcPr>
            <w:tcW w:w="1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14" w:type="dxa"/>
        </w:trPr>
        <w:tc>
          <w:tcPr>
            <w:tcW w:w="13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抚宁联社</w:t>
            </w:r>
          </w:p>
        </w:tc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综合柜员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一般为经济学(门类)、金融学(类)、财务管理、会计学、计算机(类)等专业。</w:t>
            </w:r>
          </w:p>
        </w:tc>
        <w:tc>
          <w:tcPr>
            <w:tcW w:w="1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全日制普通类高等院校大学本科及以上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tblCellSpacing w:w="14" w:type="dxa"/>
        </w:trPr>
        <w:tc>
          <w:tcPr>
            <w:tcW w:w="1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本科学历报考人员法学、汉语言文学、人力资源管理、英语等部分专业控制在选用总人数的10%以内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（英语专业不超过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val="en-US" w:eastAsia="zh-CN"/>
              </w:rPr>
              <w:t>2名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。</w:t>
            </w:r>
          </w:p>
        </w:tc>
        <w:tc>
          <w:tcPr>
            <w:tcW w:w="1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14" w:type="dxa"/>
        </w:trPr>
        <w:tc>
          <w:tcPr>
            <w:tcW w:w="13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卢龙农商行</w:t>
            </w:r>
          </w:p>
        </w:tc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综合柜员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一般为经济学(门类)、金融学(类)、财务管理、会计学、计算机(类)等专业。</w:t>
            </w:r>
          </w:p>
        </w:tc>
        <w:tc>
          <w:tcPr>
            <w:tcW w:w="15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全日制普通类高等院校大学本科及以上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14" w:type="dxa"/>
        </w:trPr>
        <w:tc>
          <w:tcPr>
            <w:tcW w:w="1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本科学历报考人员法学、汉语言文学、人力资源管理、英语等部分专业控制在选用总人数的10%以内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（英语专业不超过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val="en-US" w:eastAsia="zh-CN"/>
              </w:rPr>
              <w:t>2名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。</w:t>
            </w:r>
          </w:p>
        </w:tc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CellSpacing w:w="14" w:type="dxa"/>
        </w:trPr>
        <w:tc>
          <w:tcPr>
            <w:tcW w:w="1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一般为经济学(门类)、金融学(类)、财务管理、会计学、计算机(类)等专业。</w:t>
            </w:r>
          </w:p>
        </w:tc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全日制普通类高等院校大学专科及以上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14" w:type="dxa"/>
        </w:trPr>
        <w:tc>
          <w:tcPr>
            <w:tcW w:w="13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昌黎联社</w:t>
            </w:r>
          </w:p>
        </w:tc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36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综合柜员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一般为经济学(门类)、金融学(类)、财务管理、会计学、计算机(类)等专业。</w:t>
            </w:r>
          </w:p>
        </w:tc>
        <w:tc>
          <w:tcPr>
            <w:tcW w:w="1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全日制普通类高等院校大学本科及以上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14" w:type="dxa"/>
        </w:trPr>
        <w:tc>
          <w:tcPr>
            <w:tcW w:w="1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本科学历报考人员法学、汉语言文学、人力资源管理、英语等部分专业控制在选用总人数的10%以内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（英语专业不超过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val="en-US" w:eastAsia="zh-CN"/>
              </w:rPr>
              <w:t>2名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。</w:t>
            </w:r>
          </w:p>
        </w:tc>
        <w:tc>
          <w:tcPr>
            <w:tcW w:w="1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tblCellSpacing w:w="14" w:type="dxa"/>
        </w:trPr>
        <w:tc>
          <w:tcPr>
            <w:tcW w:w="1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一般为经济学(门类)、金融学(类)、财务管理、会计学、计算机(类)等专业。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全日制普通类高等院校大学专科及以上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tblCellSpacing w:w="14" w:type="dxa"/>
        </w:trPr>
        <w:tc>
          <w:tcPr>
            <w:tcW w:w="13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青龙联社</w:t>
            </w:r>
          </w:p>
        </w:tc>
        <w:tc>
          <w:tcPr>
            <w:tcW w:w="6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46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综合柜员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29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一般为经济学(门类)、金融学(类)、财务管理、会计学、计算机(类)、工商管理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类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、统计学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类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、农业经济管理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（类）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专业。</w:t>
            </w:r>
          </w:p>
        </w:tc>
        <w:tc>
          <w:tcPr>
            <w:tcW w:w="15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全日制普通类高等院校大学本科及以上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14" w:type="dxa"/>
        </w:trPr>
        <w:tc>
          <w:tcPr>
            <w:tcW w:w="1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本科学历报考人员法学、汉语言文学、人力资源管理、英语等部分专业控制在选用总人数的10%以内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（英语专业不超过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val="en-US" w:eastAsia="zh-CN"/>
              </w:rPr>
              <w:t>2名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。</w:t>
            </w:r>
          </w:p>
        </w:tc>
        <w:tc>
          <w:tcPr>
            <w:tcW w:w="15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CellSpacing w:w="14" w:type="dxa"/>
        </w:trPr>
        <w:tc>
          <w:tcPr>
            <w:tcW w:w="13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13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一般为经济学(门类)、金融学(类)、财务管理、会计学、计算机(类)等专业。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全日制普通类高等院校大学专科及以上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tblCellSpacing w:w="14" w:type="dxa"/>
        </w:trPr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合计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170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170</w:t>
            </w:r>
          </w:p>
        </w:tc>
        <w:tc>
          <w:tcPr>
            <w:tcW w:w="7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tblCellSpacing w:w="14" w:type="dxa"/>
        </w:trPr>
        <w:tc>
          <w:tcPr>
            <w:tcW w:w="14147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16"/>
                <w:szCs w:val="16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注：市区、抚宁全部为本科及以上学历，卢龙农商行本科及以上学历不低于80%，昌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16"/>
                <w:szCs w:val="16"/>
              </w:rPr>
              <w:t>黎本科及以上学历不低于70%，青龙本科及以上学历</w:t>
            </w:r>
            <w:r>
              <w:rPr>
                <w:rFonts w:hint="eastAsia" w:ascii="楷体_GB2312" w:hAnsi="宋体" w:eastAsia="楷体_GB2312" w:cs="宋体"/>
                <w:kern w:val="0"/>
                <w:sz w:val="16"/>
                <w:szCs w:val="16"/>
              </w:rPr>
              <w:t>不低于70%。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81E"/>
    <w:rsid w:val="000144D0"/>
    <w:rsid w:val="00015098"/>
    <w:rsid w:val="000165D1"/>
    <w:rsid w:val="000312FC"/>
    <w:rsid w:val="00042A63"/>
    <w:rsid w:val="000642F6"/>
    <w:rsid w:val="00067601"/>
    <w:rsid w:val="0007554A"/>
    <w:rsid w:val="00082B78"/>
    <w:rsid w:val="000A3137"/>
    <w:rsid w:val="00133264"/>
    <w:rsid w:val="00143A15"/>
    <w:rsid w:val="00156B22"/>
    <w:rsid w:val="00190FA1"/>
    <w:rsid w:val="001949CB"/>
    <w:rsid w:val="001E02D3"/>
    <w:rsid w:val="00210E29"/>
    <w:rsid w:val="00231969"/>
    <w:rsid w:val="00236544"/>
    <w:rsid w:val="00243BD9"/>
    <w:rsid w:val="00254A63"/>
    <w:rsid w:val="00267AFD"/>
    <w:rsid w:val="00280893"/>
    <w:rsid w:val="002A1F6C"/>
    <w:rsid w:val="002B575C"/>
    <w:rsid w:val="002B68DC"/>
    <w:rsid w:val="002D1636"/>
    <w:rsid w:val="002D2EC5"/>
    <w:rsid w:val="0030412C"/>
    <w:rsid w:val="003071CC"/>
    <w:rsid w:val="00314515"/>
    <w:rsid w:val="00336C78"/>
    <w:rsid w:val="00347BFF"/>
    <w:rsid w:val="00351971"/>
    <w:rsid w:val="00383ACA"/>
    <w:rsid w:val="0038405F"/>
    <w:rsid w:val="003846E3"/>
    <w:rsid w:val="00385E2F"/>
    <w:rsid w:val="00391A60"/>
    <w:rsid w:val="004022F2"/>
    <w:rsid w:val="00447E80"/>
    <w:rsid w:val="00462093"/>
    <w:rsid w:val="00486AB2"/>
    <w:rsid w:val="00491ED5"/>
    <w:rsid w:val="00492E7D"/>
    <w:rsid w:val="004A79CD"/>
    <w:rsid w:val="004B6CD7"/>
    <w:rsid w:val="004D6973"/>
    <w:rsid w:val="00513B2C"/>
    <w:rsid w:val="0051795A"/>
    <w:rsid w:val="005202A1"/>
    <w:rsid w:val="00541301"/>
    <w:rsid w:val="0054511D"/>
    <w:rsid w:val="00545971"/>
    <w:rsid w:val="00564EB1"/>
    <w:rsid w:val="005744B8"/>
    <w:rsid w:val="00581426"/>
    <w:rsid w:val="00585B4D"/>
    <w:rsid w:val="00595B39"/>
    <w:rsid w:val="005A03DC"/>
    <w:rsid w:val="005A50EF"/>
    <w:rsid w:val="005C4945"/>
    <w:rsid w:val="005D1457"/>
    <w:rsid w:val="005D2C11"/>
    <w:rsid w:val="00601697"/>
    <w:rsid w:val="00614238"/>
    <w:rsid w:val="00622B45"/>
    <w:rsid w:val="00627618"/>
    <w:rsid w:val="00661C14"/>
    <w:rsid w:val="006903AC"/>
    <w:rsid w:val="006951B2"/>
    <w:rsid w:val="006B2249"/>
    <w:rsid w:val="006B72BE"/>
    <w:rsid w:val="006D42FB"/>
    <w:rsid w:val="006D4454"/>
    <w:rsid w:val="006E3831"/>
    <w:rsid w:val="006E6DDE"/>
    <w:rsid w:val="006F4C95"/>
    <w:rsid w:val="0070187A"/>
    <w:rsid w:val="00737CE5"/>
    <w:rsid w:val="00746F1D"/>
    <w:rsid w:val="00756440"/>
    <w:rsid w:val="00763B7C"/>
    <w:rsid w:val="00792CF0"/>
    <w:rsid w:val="007B0E26"/>
    <w:rsid w:val="007B7ABE"/>
    <w:rsid w:val="007D5993"/>
    <w:rsid w:val="007E7B2E"/>
    <w:rsid w:val="007F263F"/>
    <w:rsid w:val="0080111B"/>
    <w:rsid w:val="00803938"/>
    <w:rsid w:val="00811DFB"/>
    <w:rsid w:val="0083525C"/>
    <w:rsid w:val="00836072"/>
    <w:rsid w:val="00837402"/>
    <w:rsid w:val="008556AD"/>
    <w:rsid w:val="008648B1"/>
    <w:rsid w:val="008B1EB1"/>
    <w:rsid w:val="008E7CF3"/>
    <w:rsid w:val="008F2B56"/>
    <w:rsid w:val="008F4AA4"/>
    <w:rsid w:val="00914E57"/>
    <w:rsid w:val="00940453"/>
    <w:rsid w:val="00941249"/>
    <w:rsid w:val="00942F7E"/>
    <w:rsid w:val="0095594C"/>
    <w:rsid w:val="00982D87"/>
    <w:rsid w:val="009B3CD7"/>
    <w:rsid w:val="009D4330"/>
    <w:rsid w:val="00A67271"/>
    <w:rsid w:val="00A77221"/>
    <w:rsid w:val="00AA1B37"/>
    <w:rsid w:val="00AA6A93"/>
    <w:rsid w:val="00AB7F72"/>
    <w:rsid w:val="00AD510E"/>
    <w:rsid w:val="00B25C93"/>
    <w:rsid w:val="00B34784"/>
    <w:rsid w:val="00B447BF"/>
    <w:rsid w:val="00B5471E"/>
    <w:rsid w:val="00B66B43"/>
    <w:rsid w:val="00B92DC0"/>
    <w:rsid w:val="00B93F06"/>
    <w:rsid w:val="00BA2831"/>
    <w:rsid w:val="00BA2CA1"/>
    <w:rsid w:val="00BB04CD"/>
    <w:rsid w:val="00BD44CE"/>
    <w:rsid w:val="00C06FDB"/>
    <w:rsid w:val="00C17EA8"/>
    <w:rsid w:val="00C44E9D"/>
    <w:rsid w:val="00C457F0"/>
    <w:rsid w:val="00C607D9"/>
    <w:rsid w:val="00CA40A9"/>
    <w:rsid w:val="00CB73CA"/>
    <w:rsid w:val="00D30C57"/>
    <w:rsid w:val="00D321CB"/>
    <w:rsid w:val="00D46399"/>
    <w:rsid w:val="00D5064B"/>
    <w:rsid w:val="00D67284"/>
    <w:rsid w:val="00D831E3"/>
    <w:rsid w:val="00D870F7"/>
    <w:rsid w:val="00DA62DB"/>
    <w:rsid w:val="00DB78AA"/>
    <w:rsid w:val="00DC3713"/>
    <w:rsid w:val="00DD2AD4"/>
    <w:rsid w:val="00DE6B3B"/>
    <w:rsid w:val="00DE7095"/>
    <w:rsid w:val="00E02221"/>
    <w:rsid w:val="00E25DC2"/>
    <w:rsid w:val="00E3724A"/>
    <w:rsid w:val="00E525F6"/>
    <w:rsid w:val="00E52BEA"/>
    <w:rsid w:val="00E97963"/>
    <w:rsid w:val="00EA4D5C"/>
    <w:rsid w:val="00EA7D94"/>
    <w:rsid w:val="00EB5681"/>
    <w:rsid w:val="00EC5F40"/>
    <w:rsid w:val="00ED2A01"/>
    <w:rsid w:val="00ED6F86"/>
    <w:rsid w:val="00EE3DEA"/>
    <w:rsid w:val="00F40006"/>
    <w:rsid w:val="00F408B1"/>
    <w:rsid w:val="00F432BE"/>
    <w:rsid w:val="00F47BFC"/>
    <w:rsid w:val="00FA1D9C"/>
    <w:rsid w:val="00FA384A"/>
    <w:rsid w:val="00FA581E"/>
    <w:rsid w:val="00FB7534"/>
    <w:rsid w:val="00FD121B"/>
    <w:rsid w:val="00FD22DA"/>
    <w:rsid w:val="00FE3894"/>
    <w:rsid w:val="00FE4D5F"/>
    <w:rsid w:val="029D7B8A"/>
    <w:rsid w:val="06DC14AE"/>
    <w:rsid w:val="14F17F65"/>
    <w:rsid w:val="1FD545AE"/>
    <w:rsid w:val="20081F09"/>
    <w:rsid w:val="240C0DC6"/>
    <w:rsid w:val="3AB8620E"/>
    <w:rsid w:val="56FA446D"/>
    <w:rsid w:val="5B165F54"/>
    <w:rsid w:val="5D310DC8"/>
    <w:rsid w:val="66337BD3"/>
    <w:rsid w:val="66AF3587"/>
    <w:rsid w:val="68F43E3C"/>
    <w:rsid w:val="73A1514F"/>
    <w:rsid w:val="76D8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862</Characters>
  <Lines>7</Lines>
  <Paragraphs>2</Paragraphs>
  <TotalTime>2</TotalTime>
  <ScaleCrop>false</ScaleCrop>
  <LinksUpToDate>false</LinksUpToDate>
  <CharactersWithSpaces>1011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2020-08-18T07:26:00Z</dcterms:created>
  <dc:creator>刘邓丽</dc:creator>
  <cp:lastModifiedBy>独一无二</cp:lastModifiedBy>
  <cp:lastPrinted>2020-08-18T03:36:00Z</cp:lastPrinted>
  <dcterms:modified xsi:type="dcterms:W3CDTF">2020-11-13T01:20:12Z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