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990" w:lineRule="atLeast"/>
        <w:ind w:left="0" w:right="0" w:firstLine="0"/>
        <w:jc w:val="center"/>
        <w:rPr>
          <w:rFonts w:ascii="微软雅黑" w:hAnsi="微软雅黑" w:eastAsia="微软雅黑" w:cs="微软雅黑"/>
          <w:b/>
          <w:i w:val="0"/>
          <w:caps w:val="0"/>
          <w:color w:val="454545"/>
          <w:spacing w:val="0"/>
          <w:sz w:val="27"/>
          <w:szCs w:val="27"/>
        </w:rPr>
      </w:pPr>
      <w:r>
        <w:rPr>
          <w:rFonts w:hint="eastAsia" w:ascii="微软雅黑" w:hAnsi="微软雅黑" w:eastAsia="微软雅黑" w:cs="微软雅黑"/>
          <w:b/>
          <w:i w:val="0"/>
          <w:caps w:val="0"/>
          <w:color w:val="454545"/>
          <w:spacing w:val="0"/>
          <w:sz w:val="27"/>
          <w:szCs w:val="27"/>
          <w:bdr w:val="none" w:color="auto" w:sz="0" w:space="0"/>
        </w:rPr>
        <w:t>平湖市教育局校园招聘2021学年教师公告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1"/>
          <w:szCs w:val="21"/>
        </w:rPr>
      </w:pPr>
      <w:r>
        <w:rPr>
          <w:rFonts w:ascii="仿宋" w:hAnsi="仿宋" w:eastAsia="仿宋" w:cs="仿宋"/>
          <w:i w:val="0"/>
          <w:caps w:val="0"/>
          <w:color w:val="454545"/>
          <w:spacing w:val="0"/>
          <w:sz w:val="28"/>
          <w:szCs w:val="28"/>
          <w:bdr w:val="none" w:color="auto" w:sz="0" w:space="0"/>
        </w:rPr>
        <w:t>   为确保我市教育事业稳步发展，全面提高教师队伍的素质，根据《关于进一步加强事业单位公开招聘工作的指导意见》（浙人社发〔2012〕194号）及相关规定,结合我市中小学（幼儿园）师资现状和2021年教师招聘计划，经市人力社保局备案，现就平湖市教育局校园招聘2021学年在编教师具体事项公告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jc w:val="left"/>
        <w:rPr>
          <w:sz w:val="21"/>
          <w:szCs w:val="21"/>
        </w:rPr>
      </w:pPr>
      <w:r>
        <w:rPr>
          <w:rFonts w:ascii="黑体" w:hAnsi="宋体" w:eastAsia="黑体" w:cs="黑体"/>
          <w:i w:val="0"/>
          <w:caps w:val="0"/>
          <w:color w:val="454545"/>
          <w:spacing w:val="0"/>
          <w:sz w:val="28"/>
          <w:szCs w:val="28"/>
          <w:bdr w:val="none" w:color="auto" w:sz="0" w:space="0"/>
        </w:rPr>
        <w:t>一、招聘单位、岗位及名额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jc w:val="left"/>
        <w:rPr>
          <w:sz w:val="21"/>
          <w:szCs w:val="21"/>
        </w:rPr>
      </w:pPr>
      <w:r>
        <w:rPr>
          <w:rFonts w:hint="eastAsia" w:ascii="仿宋" w:hAnsi="仿宋" w:eastAsia="仿宋" w:cs="仿宋"/>
          <w:i w:val="0"/>
          <w:caps w:val="0"/>
          <w:color w:val="454545"/>
          <w:spacing w:val="0"/>
          <w:sz w:val="28"/>
          <w:szCs w:val="28"/>
          <w:bdr w:val="none" w:color="auto" w:sz="0" w:space="0"/>
        </w:rPr>
        <w:t>详见附件1。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rPr>
          <w:sz w:val="21"/>
          <w:szCs w:val="21"/>
        </w:rPr>
      </w:pPr>
      <w:r>
        <w:rPr>
          <w:rFonts w:hint="eastAsia" w:ascii="黑体" w:hAnsi="宋体" w:eastAsia="黑体" w:cs="黑体"/>
          <w:i w:val="0"/>
          <w:caps w:val="0"/>
          <w:color w:val="454545"/>
          <w:spacing w:val="0"/>
          <w:sz w:val="28"/>
          <w:szCs w:val="28"/>
          <w:bdr w:val="none" w:color="auto" w:sz="0" w:space="0"/>
        </w:rPr>
        <w:t>二、招聘的条件</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rPr>
          <w:sz w:val="21"/>
          <w:szCs w:val="21"/>
        </w:rPr>
      </w:pPr>
      <w:r>
        <w:rPr>
          <w:rFonts w:hint="eastAsia" w:ascii="黑体" w:hAnsi="宋体" w:eastAsia="黑体" w:cs="黑体"/>
          <w:i w:val="0"/>
          <w:caps w:val="0"/>
          <w:color w:val="454545"/>
          <w:spacing w:val="0"/>
          <w:sz w:val="28"/>
          <w:szCs w:val="28"/>
          <w:bdr w:val="none" w:color="auto" w:sz="0" w:space="0"/>
        </w:rPr>
        <w:t>（一）基本条件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rPr>
          <w:sz w:val="21"/>
          <w:szCs w:val="21"/>
        </w:rPr>
      </w:pPr>
      <w:r>
        <w:rPr>
          <w:rFonts w:hint="eastAsia" w:ascii="仿宋" w:hAnsi="仿宋" w:eastAsia="仿宋" w:cs="仿宋"/>
          <w:i w:val="0"/>
          <w:caps w:val="0"/>
          <w:color w:val="454545"/>
          <w:spacing w:val="0"/>
          <w:sz w:val="28"/>
          <w:szCs w:val="28"/>
          <w:bdr w:val="none" w:color="auto" w:sz="0" w:space="0"/>
        </w:rPr>
        <w:t>1.具有中华人民共和国国籍，有良好的政治思想素质，拥护党的路线、方针、政策。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rPr>
          <w:sz w:val="21"/>
          <w:szCs w:val="21"/>
        </w:rPr>
      </w:pPr>
      <w:r>
        <w:rPr>
          <w:rFonts w:hint="eastAsia" w:ascii="仿宋" w:hAnsi="仿宋" w:eastAsia="仿宋" w:cs="仿宋"/>
          <w:i w:val="0"/>
          <w:caps w:val="0"/>
          <w:color w:val="454545"/>
          <w:spacing w:val="0"/>
          <w:sz w:val="28"/>
          <w:szCs w:val="28"/>
          <w:bdr w:val="none" w:color="auto" w:sz="0" w:space="0"/>
        </w:rPr>
        <w:t>2.具有与履行招聘岗位职责相适应的思想政治、职业道德、业务水平、教育教学能力和身体、心理素质。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pPr>
      <w:r>
        <w:rPr>
          <w:rFonts w:hint="eastAsia" w:ascii="仿宋" w:hAnsi="仿宋" w:eastAsia="仿宋" w:cs="仿宋"/>
          <w:i w:val="0"/>
          <w:caps w:val="0"/>
          <w:color w:val="454545"/>
          <w:spacing w:val="0"/>
          <w:sz w:val="28"/>
          <w:szCs w:val="28"/>
          <w:bdr w:val="none" w:color="auto" w:sz="0" w:space="0"/>
        </w:rPr>
        <w:t>3.符合《教师法》有关规定，取得相应的学历和资格条件。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pPr>
      <w:r>
        <w:rPr>
          <w:rFonts w:hint="eastAsia" w:ascii="黑体" w:hAnsi="宋体" w:eastAsia="黑体" w:cs="黑体"/>
          <w:i w:val="0"/>
          <w:caps w:val="0"/>
          <w:color w:val="454545"/>
          <w:spacing w:val="0"/>
          <w:sz w:val="28"/>
          <w:szCs w:val="28"/>
          <w:bdr w:val="none" w:color="auto" w:sz="0" w:space="0"/>
        </w:rPr>
        <w:t>（二）招聘的范围和报考条件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pPr>
      <w:r>
        <w:rPr>
          <w:rStyle w:val="7"/>
          <w:rFonts w:ascii="仿宋_GB2312" w:hAnsi="微软雅黑" w:eastAsia="仿宋_GB2312" w:cs="仿宋_GB2312"/>
          <w:i w:val="0"/>
          <w:caps w:val="0"/>
          <w:color w:val="454545"/>
          <w:spacing w:val="0"/>
          <w:sz w:val="28"/>
          <w:szCs w:val="28"/>
          <w:bdr w:val="none" w:color="auto" w:sz="0" w:space="0"/>
        </w:rPr>
        <w:t>1.</w:t>
      </w:r>
      <w:r>
        <w:rPr>
          <w:rStyle w:val="7"/>
          <w:rFonts w:hint="default" w:ascii="仿宋_GB2312" w:hAnsi="微软雅黑" w:eastAsia="仿宋_GB2312" w:cs="仿宋_GB2312"/>
          <w:i w:val="0"/>
          <w:caps w:val="0"/>
          <w:color w:val="454545"/>
          <w:spacing w:val="0"/>
          <w:sz w:val="28"/>
          <w:szCs w:val="28"/>
          <w:bdr w:val="none" w:color="auto" w:sz="0" w:space="0"/>
        </w:rPr>
        <w:t>高中段、义务教育学校、幼儿园基础课教师岗位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pPr>
      <w:r>
        <w:rPr>
          <w:rFonts w:hint="default" w:ascii="仿宋_GB2312" w:hAnsi="微软雅黑" w:eastAsia="仿宋_GB2312" w:cs="仿宋_GB2312"/>
          <w:i w:val="0"/>
          <w:caps w:val="0"/>
          <w:color w:val="454545"/>
          <w:spacing w:val="0"/>
          <w:sz w:val="28"/>
          <w:szCs w:val="28"/>
          <w:bdr w:val="none" w:color="auto" w:sz="0" w:space="0"/>
        </w:rPr>
        <w:t>专业对口且符合招聘岗位的其他有关要求（见附件1），同时满足以下任意一条：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pPr>
      <w:r>
        <w:rPr>
          <w:rFonts w:hint="default" w:ascii="仿宋_GB2312" w:hAnsi="微软雅黑" w:eastAsia="仿宋_GB2312" w:cs="仿宋_GB2312"/>
          <w:i w:val="0"/>
          <w:caps w:val="0"/>
          <w:color w:val="454545"/>
          <w:spacing w:val="0"/>
          <w:sz w:val="28"/>
          <w:szCs w:val="28"/>
          <w:bdr w:val="none" w:color="auto" w:sz="0" w:space="0"/>
        </w:rPr>
        <w:t>（1）2021年全日制普通高校硕士研究生及以上应届毕业生；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pPr>
      <w:r>
        <w:rPr>
          <w:rFonts w:hint="default" w:ascii="仿宋_GB2312" w:hAnsi="微软雅黑" w:eastAsia="仿宋_GB2312" w:cs="仿宋_GB2312"/>
          <w:i w:val="0"/>
          <w:caps w:val="0"/>
          <w:color w:val="454545"/>
          <w:spacing w:val="0"/>
          <w:sz w:val="28"/>
          <w:szCs w:val="28"/>
          <w:bdr w:val="none" w:color="auto" w:sz="0" w:space="0"/>
        </w:rPr>
        <w:t>（2）国家“双一流”建设高校和建设学科（按教研函〔2017〕2号公布的名单为准，下同）的2021年全日制普通高校应届本科毕业生；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pPr>
      <w:r>
        <w:rPr>
          <w:rFonts w:hint="default" w:ascii="仿宋_GB2312" w:hAnsi="微软雅黑" w:eastAsia="仿宋_GB2312" w:cs="仿宋_GB2312"/>
          <w:i w:val="0"/>
          <w:caps w:val="0"/>
          <w:color w:val="454545"/>
          <w:spacing w:val="0"/>
          <w:sz w:val="28"/>
          <w:szCs w:val="28"/>
          <w:bdr w:val="none" w:color="auto" w:sz="0" w:space="0"/>
        </w:rPr>
        <w:t>（3）浙江省生源（生源指经高考被高校录取时户口所在地，下同）或浙江省户籍（以2020年11月28日户籍所在地为准，下同），普通类第一段（第一批）录取的2021年全日制普通高校应届本科毕业生；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pPr>
      <w:r>
        <w:rPr>
          <w:rFonts w:hint="default" w:ascii="仿宋_GB2312" w:hAnsi="微软雅黑" w:eastAsia="仿宋_GB2312" w:cs="仿宋_GB2312"/>
          <w:i w:val="0"/>
          <w:caps w:val="0"/>
          <w:color w:val="454545"/>
          <w:spacing w:val="0"/>
          <w:sz w:val="28"/>
          <w:szCs w:val="28"/>
          <w:bdr w:val="none" w:color="auto" w:sz="0" w:space="0"/>
        </w:rPr>
        <w:t>（4）浙江省生源或户籍，2021年全日制普通高校应届本科师范类毕业生，具备以下条件的：以学年评奖的，大学本科期间学年度获得校级一次一等奖学金或两次二等及以上奖学金或三次三等及以上奖学金；以学期评奖的，大学本科期间学期获得校级两次一等奖学金或三次二等及以上奖学金或四次三等及以上奖学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pPr>
      <w:r>
        <w:rPr>
          <w:rFonts w:hint="default" w:ascii="仿宋_GB2312" w:hAnsi="微软雅黑" w:eastAsia="仿宋_GB2312" w:cs="仿宋_GB2312"/>
          <w:i w:val="0"/>
          <w:caps w:val="0"/>
          <w:color w:val="454545"/>
          <w:spacing w:val="0"/>
          <w:sz w:val="28"/>
          <w:szCs w:val="28"/>
          <w:bdr w:val="none" w:color="auto" w:sz="0" w:space="0"/>
        </w:rPr>
        <w:t>（5）浙江省生源或户籍，2021年全日制普通高校应届本科毕业生，具备以下条件的,可报考音乐、体育、美术教师岗位：以学年评奖的，大学本科期间学年度获得校级一次一等奖学金或两次二等及以上奖学金或三次三等及以上奖学金；以学期评奖的，大学本科期间学期获得校级两次一等奖学金或三次二等及以上奖学金或四次三等及以上奖学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pPr>
      <w:r>
        <w:rPr>
          <w:rStyle w:val="7"/>
          <w:rFonts w:hint="default" w:ascii="仿宋_GB2312" w:hAnsi="微软雅黑" w:eastAsia="仿宋_GB2312" w:cs="仿宋_GB2312"/>
          <w:i w:val="0"/>
          <w:caps w:val="0"/>
          <w:color w:val="454545"/>
          <w:spacing w:val="0"/>
          <w:sz w:val="28"/>
          <w:szCs w:val="28"/>
          <w:bdr w:val="none" w:color="auto" w:sz="0" w:space="0"/>
        </w:rPr>
        <w:t>2.特殊教育岗位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pPr>
      <w:r>
        <w:rPr>
          <w:rFonts w:hint="default" w:ascii="仿宋_GB2312" w:hAnsi="微软雅黑" w:eastAsia="仿宋_GB2312" w:cs="仿宋_GB2312"/>
          <w:i w:val="0"/>
          <w:caps w:val="0"/>
          <w:color w:val="454545"/>
          <w:spacing w:val="0"/>
          <w:sz w:val="28"/>
          <w:szCs w:val="28"/>
          <w:bdr w:val="none" w:color="auto" w:sz="0" w:space="0"/>
        </w:rPr>
        <w:t>专业对口且符合招聘岗位的其他有关要求（见附件1），同时满足以下任意一条：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pPr>
      <w:r>
        <w:rPr>
          <w:rFonts w:hint="default" w:ascii="仿宋_GB2312" w:hAnsi="微软雅黑" w:eastAsia="仿宋_GB2312" w:cs="仿宋_GB2312"/>
          <w:i w:val="0"/>
          <w:caps w:val="0"/>
          <w:color w:val="454545"/>
          <w:spacing w:val="0"/>
          <w:sz w:val="28"/>
          <w:szCs w:val="28"/>
          <w:bdr w:val="none" w:color="auto" w:sz="0" w:space="0"/>
        </w:rPr>
        <w:t>（1）2021年全日制普通高校硕士研究生及以上应届毕业生；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pPr>
      <w:r>
        <w:rPr>
          <w:rFonts w:hint="default" w:ascii="仿宋_GB2312" w:hAnsi="微软雅黑" w:eastAsia="仿宋_GB2312" w:cs="仿宋_GB2312"/>
          <w:i w:val="0"/>
          <w:caps w:val="0"/>
          <w:color w:val="454545"/>
          <w:spacing w:val="0"/>
          <w:sz w:val="28"/>
          <w:szCs w:val="28"/>
          <w:bdr w:val="none" w:color="auto" w:sz="0" w:space="0"/>
        </w:rPr>
        <w:t>（2）国家“双一流”建设高校和建设学科的2021年全日制普通高校应届本科毕业生；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pPr>
      <w:r>
        <w:rPr>
          <w:rFonts w:hint="default" w:ascii="仿宋_GB2312" w:hAnsi="微软雅黑" w:eastAsia="仿宋_GB2312" w:cs="仿宋_GB2312"/>
          <w:i w:val="0"/>
          <w:caps w:val="0"/>
          <w:color w:val="454545"/>
          <w:spacing w:val="0"/>
          <w:sz w:val="28"/>
          <w:szCs w:val="28"/>
          <w:bdr w:val="none" w:color="auto" w:sz="0" w:space="0"/>
        </w:rPr>
        <w:t>（3）嘉兴市生源或户籍，2021年全日制普通高校应届本科师范类毕业生。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pPr>
      <w:r>
        <w:rPr>
          <w:rStyle w:val="7"/>
          <w:rFonts w:hint="default" w:ascii="仿宋_GB2312" w:hAnsi="微软雅黑" w:eastAsia="仿宋_GB2312" w:cs="仿宋_GB2312"/>
          <w:i w:val="0"/>
          <w:caps w:val="0"/>
          <w:color w:val="454545"/>
          <w:spacing w:val="0"/>
          <w:sz w:val="28"/>
          <w:szCs w:val="28"/>
          <w:bdr w:val="none" w:color="auto" w:sz="0" w:space="0"/>
        </w:rPr>
        <w:t>3.职业类专业课教师岗位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pPr>
      <w:r>
        <w:rPr>
          <w:rFonts w:hint="eastAsia" w:ascii="仿宋" w:hAnsi="仿宋" w:eastAsia="仿宋" w:cs="仿宋"/>
          <w:i w:val="0"/>
          <w:caps w:val="0"/>
          <w:color w:val="454545"/>
          <w:spacing w:val="0"/>
          <w:sz w:val="28"/>
          <w:szCs w:val="28"/>
          <w:bdr w:val="none" w:color="auto" w:sz="0" w:space="0"/>
        </w:rPr>
        <w:t>专业对口且符合招聘岗位的其他有关要求（见附件1），同时满足以下任意一条：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pPr>
      <w:r>
        <w:rPr>
          <w:rFonts w:hint="eastAsia" w:ascii="仿宋" w:hAnsi="仿宋" w:eastAsia="仿宋" w:cs="仿宋"/>
          <w:i w:val="0"/>
          <w:caps w:val="0"/>
          <w:color w:val="454545"/>
          <w:spacing w:val="0"/>
          <w:sz w:val="28"/>
          <w:szCs w:val="28"/>
          <w:bdr w:val="none" w:color="auto" w:sz="0" w:space="0"/>
        </w:rPr>
        <w:t>（1）2021年全日制普通高校硕士研究生及以上应届毕业生；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pPr>
      <w:r>
        <w:rPr>
          <w:rFonts w:hint="eastAsia" w:ascii="仿宋" w:hAnsi="仿宋" w:eastAsia="仿宋" w:cs="仿宋"/>
          <w:i w:val="0"/>
          <w:caps w:val="0"/>
          <w:color w:val="454545"/>
          <w:spacing w:val="0"/>
          <w:sz w:val="28"/>
          <w:szCs w:val="28"/>
          <w:bdr w:val="none" w:color="auto" w:sz="0" w:space="0"/>
        </w:rPr>
        <w:t>（2）国家“双一流”建设高校和建设学科的2021年全日制普通高校应届本科毕业生；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pPr>
      <w:r>
        <w:rPr>
          <w:rFonts w:hint="eastAsia" w:ascii="仿宋" w:hAnsi="仿宋" w:eastAsia="仿宋" w:cs="仿宋"/>
          <w:i w:val="0"/>
          <w:caps w:val="0"/>
          <w:color w:val="454545"/>
          <w:spacing w:val="0"/>
          <w:sz w:val="28"/>
          <w:szCs w:val="28"/>
          <w:bdr w:val="none" w:color="auto" w:sz="0" w:space="0"/>
        </w:rPr>
        <w:t>（3）浙江省生源或户籍，普通类第一段（第一批）录取的2021年全日制普通高校应届本科毕业生；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pPr>
      <w:r>
        <w:rPr>
          <w:rFonts w:hint="eastAsia" w:ascii="仿宋" w:hAnsi="仿宋" w:eastAsia="仿宋" w:cs="仿宋"/>
          <w:i w:val="0"/>
          <w:caps w:val="0"/>
          <w:color w:val="454545"/>
          <w:spacing w:val="0"/>
          <w:sz w:val="28"/>
          <w:szCs w:val="28"/>
          <w:bdr w:val="none" w:color="auto" w:sz="0" w:space="0"/>
        </w:rPr>
        <w:t>（4）浙江省生源或户籍，2021年全日制普通高校应届本科毕业生，具备以下条件的：以学年评奖的，大学本科期间学年度获得校级一次一等奖学金或两次二等及以上奖学金或三次三等及以上奖学金；以学期评奖的，大学本科期间学期获得校级两次一等奖学金或三次二等及以上奖学金或四次三等及以上奖学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rPr>
          <w:sz w:val="21"/>
          <w:szCs w:val="21"/>
        </w:rPr>
      </w:pPr>
      <w:r>
        <w:rPr>
          <w:rFonts w:hint="eastAsia" w:ascii="仿宋" w:hAnsi="仿宋" w:eastAsia="仿宋" w:cs="仿宋"/>
          <w:i w:val="0"/>
          <w:caps w:val="0"/>
          <w:color w:val="454545"/>
          <w:spacing w:val="0"/>
          <w:sz w:val="28"/>
          <w:szCs w:val="28"/>
          <w:bdr w:val="none" w:color="auto" w:sz="0" w:space="0"/>
        </w:rPr>
        <w:t>（5）2021年全日制普通高校应届本科毕业生，并获得全国技术能手、省级技术能手等荣誉称号或世界技能大赛国家集训选手或中国技能大赛优秀选手（国家级一类大赛前20名，国家级二类竞赛前15名；省级一类大赛前5名，省级二类大赛前3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rPr>
          <w:sz w:val="21"/>
          <w:szCs w:val="21"/>
        </w:rPr>
      </w:pPr>
      <w:r>
        <w:rPr>
          <w:rFonts w:hint="eastAsia" w:ascii="微软雅黑" w:hAnsi="微软雅黑" w:eastAsia="微软雅黑" w:cs="微软雅黑"/>
          <w:i w:val="0"/>
          <w:caps w:val="0"/>
          <w:color w:val="454545"/>
          <w:spacing w:val="0"/>
          <w:sz w:val="28"/>
          <w:szCs w:val="28"/>
          <w:bdr w:val="none" w:color="auto" w:sz="0" w:space="0"/>
        </w:rPr>
        <w:t>4.职业类实习指导教师岗位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rPr>
          <w:sz w:val="21"/>
          <w:szCs w:val="21"/>
        </w:rPr>
      </w:pPr>
      <w:r>
        <w:rPr>
          <w:rFonts w:hint="eastAsia" w:ascii="仿宋" w:hAnsi="仿宋" w:eastAsia="仿宋" w:cs="仿宋"/>
          <w:i w:val="0"/>
          <w:caps w:val="0"/>
          <w:color w:val="454545"/>
          <w:spacing w:val="0"/>
          <w:sz w:val="28"/>
          <w:szCs w:val="28"/>
          <w:bdr w:val="none" w:color="auto" w:sz="0" w:space="0"/>
        </w:rPr>
        <w:t>专业对口且符合招聘岗位的其他有关要求（见附件1），同时满足：2021年全日制大学专科及以上应届毕业生或全日制技工院校高级工及以上应届毕业生，并获得全国技术能手、省级技术能手等荣誉称号或世界技能大赛国家集训选手或中国技能大赛国家级一类大赛前5名、省级一类大赛前3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55"/>
        <w:rPr>
          <w:sz w:val="21"/>
          <w:szCs w:val="21"/>
        </w:rPr>
      </w:pPr>
      <w:r>
        <w:rPr>
          <w:rFonts w:hint="eastAsia" w:ascii="黑体" w:hAnsi="宋体" w:eastAsia="黑体" w:cs="黑体"/>
          <w:i w:val="0"/>
          <w:caps w:val="0"/>
          <w:color w:val="000000"/>
          <w:spacing w:val="0"/>
          <w:sz w:val="28"/>
          <w:szCs w:val="28"/>
          <w:bdr w:val="none" w:color="auto" w:sz="0" w:space="0"/>
          <w:shd w:val="clear" w:fill="FFFFFF"/>
        </w:rPr>
        <w:t>三、招聘程序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jc w:val="left"/>
        <w:rPr>
          <w:sz w:val="21"/>
          <w:szCs w:val="21"/>
        </w:rPr>
      </w:pPr>
      <w:r>
        <w:rPr>
          <w:rFonts w:hint="eastAsia" w:ascii="仿宋" w:hAnsi="仿宋" w:eastAsia="仿宋" w:cs="仿宋"/>
          <w:i w:val="0"/>
          <w:caps w:val="0"/>
          <w:color w:val="000000"/>
          <w:spacing w:val="0"/>
          <w:sz w:val="28"/>
          <w:szCs w:val="28"/>
          <w:bdr w:val="none" w:color="auto" w:sz="0" w:space="0"/>
        </w:rPr>
        <w:t>招聘工作贯彻公开、平等、竞争、择优的原则，坚持德才兼备的用人标准，按照发布招聘公告、报名、资格审查、考试、体检、考察、公示、聘用等程序进行。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rPr>
          <w:sz w:val="21"/>
          <w:szCs w:val="21"/>
        </w:rPr>
      </w:pPr>
      <w:r>
        <w:rPr>
          <w:rFonts w:hint="eastAsia" w:ascii="黑体" w:hAnsi="宋体" w:eastAsia="黑体" w:cs="黑体"/>
          <w:i w:val="0"/>
          <w:caps w:val="0"/>
          <w:color w:val="000000"/>
          <w:spacing w:val="0"/>
          <w:sz w:val="28"/>
          <w:szCs w:val="28"/>
          <w:bdr w:val="none" w:color="auto" w:sz="0" w:space="0"/>
        </w:rPr>
        <w:t>（一）公布招聘信息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rPr>
          <w:sz w:val="21"/>
          <w:szCs w:val="21"/>
        </w:rPr>
      </w:pPr>
      <w:r>
        <w:rPr>
          <w:rFonts w:hint="eastAsia" w:ascii="仿宋" w:hAnsi="仿宋" w:eastAsia="仿宋" w:cs="仿宋"/>
          <w:i w:val="0"/>
          <w:caps w:val="0"/>
          <w:color w:val="000000"/>
          <w:spacing w:val="0"/>
          <w:sz w:val="28"/>
          <w:szCs w:val="28"/>
          <w:bdr w:val="none" w:color="auto" w:sz="0" w:space="0"/>
        </w:rPr>
        <w:t>在中国平湖门户网平湖市教育局信息公开栏</w:t>
      </w:r>
      <w:r>
        <w:rPr>
          <w:rFonts w:hint="eastAsia" w:ascii="仿宋" w:hAnsi="仿宋" w:eastAsia="仿宋" w:cs="仿宋"/>
          <w:i w:val="0"/>
          <w:caps w:val="0"/>
          <w:color w:val="000000"/>
          <w:spacing w:val="0"/>
          <w:sz w:val="18"/>
          <w:szCs w:val="18"/>
          <w:bdr w:val="none" w:color="auto" w:sz="0" w:space="0"/>
        </w:rPr>
        <w:t>（http://www.pinghu.gov.cn/col/col1530990/index.html)</w:t>
      </w:r>
      <w:r>
        <w:rPr>
          <w:rFonts w:hint="eastAsia" w:ascii="仿宋" w:hAnsi="仿宋" w:eastAsia="仿宋" w:cs="仿宋"/>
          <w:i w:val="0"/>
          <w:caps w:val="0"/>
          <w:color w:val="000000"/>
          <w:spacing w:val="0"/>
          <w:sz w:val="28"/>
          <w:szCs w:val="28"/>
          <w:bdr w:val="none" w:color="auto" w:sz="0" w:space="0"/>
        </w:rPr>
        <w:t>、平湖人才信息网</w:t>
      </w:r>
      <w:r>
        <w:rPr>
          <w:rFonts w:hint="eastAsia" w:ascii="仿宋" w:hAnsi="仿宋" w:eastAsia="仿宋" w:cs="仿宋"/>
          <w:i w:val="0"/>
          <w:caps w:val="0"/>
          <w:color w:val="000000"/>
          <w:spacing w:val="0"/>
          <w:sz w:val="18"/>
          <w:szCs w:val="18"/>
          <w:bdr w:val="none" w:color="auto" w:sz="0" w:space="0"/>
        </w:rPr>
        <w:t>（</w:t>
      </w:r>
      <w:r>
        <w:rPr>
          <w:rFonts w:hint="eastAsia" w:ascii="仿宋" w:hAnsi="仿宋" w:eastAsia="仿宋" w:cs="仿宋"/>
          <w:i w:val="0"/>
          <w:caps w:val="0"/>
          <w:spacing w:val="0"/>
          <w:sz w:val="18"/>
          <w:szCs w:val="18"/>
          <w:u w:val="none"/>
          <w:bdr w:val="none" w:color="auto" w:sz="0" w:space="0"/>
        </w:rPr>
        <w:fldChar w:fldCharType="begin"/>
      </w:r>
      <w:r>
        <w:rPr>
          <w:rFonts w:hint="eastAsia" w:ascii="仿宋" w:hAnsi="仿宋" w:eastAsia="仿宋" w:cs="仿宋"/>
          <w:i w:val="0"/>
          <w:caps w:val="0"/>
          <w:spacing w:val="0"/>
          <w:sz w:val="18"/>
          <w:szCs w:val="18"/>
          <w:u w:val="none"/>
          <w:bdr w:val="none" w:color="auto" w:sz="0" w:space="0"/>
        </w:rPr>
        <w:instrText xml:space="preserve"> HYPERLINK "http://www.phrcsc.com.cn/" </w:instrText>
      </w:r>
      <w:r>
        <w:rPr>
          <w:rFonts w:hint="eastAsia" w:ascii="仿宋" w:hAnsi="仿宋" w:eastAsia="仿宋" w:cs="仿宋"/>
          <w:i w:val="0"/>
          <w:caps w:val="0"/>
          <w:spacing w:val="0"/>
          <w:sz w:val="18"/>
          <w:szCs w:val="18"/>
          <w:u w:val="none"/>
          <w:bdr w:val="none" w:color="auto" w:sz="0" w:space="0"/>
        </w:rPr>
        <w:fldChar w:fldCharType="separate"/>
      </w:r>
      <w:r>
        <w:rPr>
          <w:rStyle w:val="8"/>
          <w:rFonts w:hint="eastAsia" w:ascii="仿宋" w:hAnsi="仿宋" w:eastAsia="仿宋" w:cs="仿宋"/>
          <w:i w:val="0"/>
          <w:caps w:val="0"/>
          <w:color w:val="000000"/>
          <w:spacing w:val="0"/>
          <w:sz w:val="18"/>
          <w:szCs w:val="18"/>
          <w:u w:val="none"/>
          <w:bdr w:val="none" w:color="auto" w:sz="0" w:space="0"/>
        </w:rPr>
        <w:t>http://www.phrcsc.com.cn/</w:t>
      </w:r>
      <w:r>
        <w:rPr>
          <w:rFonts w:hint="eastAsia" w:ascii="仿宋" w:hAnsi="仿宋" w:eastAsia="仿宋" w:cs="仿宋"/>
          <w:i w:val="0"/>
          <w:caps w:val="0"/>
          <w:spacing w:val="0"/>
          <w:sz w:val="18"/>
          <w:szCs w:val="18"/>
          <w:u w:val="none"/>
          <w:bdr w:val="none" w:color="auto" w:sz="0" w:space="0"/>
        </w:rPr>
        <w:fldChar w:fldCharType="end"/>
      </w:r>
      <w:r>
        <w:rPr>
          <w:rFonts w:hint="eastAsia" w:ascii="仿宋" w:hAnsi="仿宋" w:eastAsia="仿宋" w:cs="仿宋"/>
          <w:i w:val="0"/>
          <w:caps w:val="0"/>
          <w:color w:val="000000"/>
          <w:spacing w:val="0"/>
          <w:sz w:val="28"/>
          <w:szCs w:val="28"/>
          <w:bdr w:val="none" w:color="auto" w:sz="0" w:space="0"/>
        </w:rPr>
        <w:t>）公布招聘信息。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jc w:val="left"/>
        <w:rPr>
          <w:sz w:val="21"/>
          <w:szCs w:val="21"/>
        </w:rPr>
      </w:pPr>
      <w:r>
        <w:rPr>
          <w:rFonts w:hint="eastAsia" w:ascii="黑体" w:hAnsi="宋体" w:eastAsia="黑体" w:cs="黑体"/>
          <w:i w:val="0"/>
          <w:caps w:val="0"/>
          <w:color w:val="000000"/>
          <w:spacing w:val="0"/>
          <w:sz w:val="28"/>
          <w:szCs w:val="28"/>
          <w:bdr w:val="none" w:color="auto" w:sz="0" w:space="0"/>
        </w:rPr>
        <w:t>（二）报名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jc w:val="left"/>
        <w:rPr>
          <w:sz w:val="21"/>
          <w:szCs w:val="21"/>
        </w:rPr>
      </w:pPr>
      <w:r>
        <w:rPr>
          <w:rFonts w:hint="eastAsia" w:ascii="仿宋" w:hAnsi="仿宋" w:eastAsia="仿宋" w:cs="仿宋"/>
          <w:i w:val="0"/>
          <w:caps w:val="0"/>
          <w:color w:val="454545"/>
          <w:spacing w:val="0"/>
          <w:sz w:val="28"/>
          <w:szCs w:val="28"/>
          <w:bdr w:val="none" w:color="auto" w:sz="0" w:space="0"/>
        </w:rPr>
        <w:t>1.报名时间：2020年11月28日（周六）上午8：30－11：30，逾期不再受理。报考人员每人限报一个岗位。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jc w:val="left"/>
        <w:rPr>
          <w:sz w:val="21"/>
          <w:szCs w:val="21"/>
        </w:rPr>
      </w:pPr>
      <w:r>
        <w:rPr>
          <w:rFonts w:hint="eastAsia" w:ascii="仿宋" w:hAnsi="仿宋" w:eastAsia="仿宋" w:cs="仿宋"/>
          <w:i w:val="0"/>
          <w:caps w:val="0"/>
          <w:color w:val="454545"/>
          <w:spacing w:val="0"/>
          <w:sz w:val="28"/>
          <w:szCs w:val="28"/>
          <w:bdr w:val="none" w:color="auto" w:sz="0" w:space="0"/>
        </w:rPr>
        <w:t>2.报名地点：浙江师范大学开放学院(浙江省金华市婺城区北山路285号) 201教室。（开放学院西门进）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jc w:val="left"/>
        <w:rPr>
          <w:sz w:val="21"/>
          <w:szCs w:val="21"/>
        </w:rPr>
      </w:pPr>
      <w:r>
        <w:rPr>
          <w:rFonts w:hint="eastAsia" w:ascii="仿宋" w:hAnsi="仿宋" w:eastAsia="仿宋" w:cs="仿宋"/>
          <w:i w:val="0"/>
          <w:caps w:val="0"/>
          <w:color w:val="000000"/>
          <w:spacing w:val="0"/>
          <w:sz w:val="28"/>
          <w:szCs w:val="28"/>
          <w:bdr w:val="none" w:color="auto" w:sz="0" w:space="0"/>
        </w:rPr>
        <w:t>3.应聘人员到报名点现场投递本人应聘材料（不接受网上、信函、电话等方式报名），相关材料复印件按以下顺序装订：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jc w:val="left"/>
        <w:rPr>
          <w:sz w:val="21"/>
          <w:szCs w:val="21"/>
        </w:rPr>
      </w:pPr>
      <w:r>
        <w:rPr>
          <w:rFonts w:hint="eastAsia" w:ascii="仿宋" w:hAnsi="仿宋" w:eastAsia="仿宋" w:cs="仿宋"/>
          <w:i w:val="0"/>
          <w:caps w:val="0"/>
          <w:color w:val="000000"/>
          <w:spacing w:val="0"/>
          <w:sz w:val="28"/>
          <w:szCs w:val="28"/>
          <w:bdr w:val="none" w:color="auto" w:sz="0" w:space="0"/>
        </w:rPr>
        <w:t>（1）《平湖市教育局公开招聘2021学年教师报名登记表》（见附件2）；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jc w:val="left"/>
        <w:rPr>
          <w:sz w:val="21"/>
          <w:szCs w:val="21"/>
        </w:rPr>
      </w:pPr>
      <w:r>
        <w:rPr>
          <w:rFonts w:hint="eastAsia" w:ascii="仿宋" w:hAnsi="仿宋" w:eastAsia="仿宋" w:cs="仿宋"/>
          <w:i w:val="0"/>
          <w:caps w:val="0"/>
          <w:color w:val="000000"/>
          <w:spacing w:val="0"/>
          <w:sz w:val="28"/>
          <w:szCs w:val="28"/>
          <w:bdr w:val="none" w:color="auto" w:sz="0" w:space="0"/>
        </w:rPr>
        <w:t>（2）自荐书（含本人学习简历、基本情况、专业能力水平等）；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jc w:val="left"/>
        <w:rPr>
          <w:sz w:val="21"/>
          <w:szCs w:val="21"/>
        </w:rPr>
      </w:pPr>
      <w:r>
        <w:rPr>
          <w:rFonts w:hint="eastAsia" w:ascii="仿宋" w:hAnsi="仿宋" w:eastAsia="仿宋" w:cs="仿宋"/>
          <w:i w:val="0"/>
          <w:caps w:val="0"/>
          <w:color w:val="000000"/>
          <w:spacing w:val="0"/>
          <w:sz w:val="28"/>
          <w:szCs w:val="28"/>
          <w:bdr w:val="none" w:color="auto" w:sz="0" w:space="0"/>
        </w:rPr>
        <w:t>（3）2021年全日制普通高校应届毕业生就业推荐表原件及复印件（含学校教务处出具的大学在校期间学习成绩单、专业总人数及本人名次）；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jc w:val="left"/>
        <w:rPr>
          <w:sz w:val="21"/>
          <w:szCs w:val="21"/>
        </w:rPr>
      </w:pPr>
      <w:r>
        <w:rPr>
          <w:rFonts w:hint="eastAsia" w:ascii="仿宋" w:hAnsi="仿宋" w:eastAsia="仿宋" w:cs="仿宋"/>
          <w:i w:val="0"/>
          <w:caps w:val="0"/>
          <w:color w:val="000000"/>
          <w:spacing w:val="0"/>
          <w:sz w:val="28"/>
          <w:szCs w:val="28"/>
          <w:bdr w:val="none" w:color="auto" w:sz="0" w:space="0"/>
        </w:rPr>
        <w:t>（4）第一段（第一批次）录取的，须提供毕业院校开具的入学录取段（批次）证明；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jc w:val="left"/>
        <w:rPr>
          <w:sz w:val="21"/>
          <w:szCs w:val="21"/>
        </w:rPr>
      </w:pPr>
      <w:r>
        <w:rPr>
          <w:rFonts w:hint="eastAsia" w:ascii="仿宋" w:hAnsi="仿宋" w:eastAsia="仿宋" w:cs="仿宋"/>
          <w:i w:val="0"/>
          <w:caps w:val="0"/>
          <w:color w:val="000000"/>
          <w:spacing w:val="0"/>
          <w:sz w:val="28"/>
          <w:szCs w:val="28"/>
          <w:bdr w:val="none" w:color="auto" w:sz="0" w:space="0"/>
        </w:rPr>
        <w:t>（5）师范类毕业生须由毕业院校出具师范类证明；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jc w:val="left"/>
        <w:rPr>
          <w:sz w:val="21"/>
          <w:szCs w:val="21"/>
        </w:rPr>
      </w:pPr>
      <w:r>
        <w:rPr>
          <w:rFonts w:hint="eastAsia" w:ascii="仿宋" w:hAnsi="仿宋" w:eastAsia="仿宋" w:cs="仿宋"/>
          <w:i w:val="0"/>
          <w:caps w:val="0"/>
          <w:color w:val="000000"/>
          <w:spacing w:val="0"/>
          <w:sz w:val="28"/>
          <w:szCs w:val="28"/>
          <w:bdr w:val="none" w:color="auto" w:sz="0" w:space="0"/>
        </w:rPr>
        <w:t>（6）2021年全日制普通高校应届毕业生就业协议书原件及复印件；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jc w:val="left"/>
        <w:rPr>
          <w:sz w:val="21"/>
          <w:szCs w:val="21"/>
        </w:rPr>
      </w:pPr>
      <w:r>
        <w:rPr>
          <w:rFonts w:hint="eastAsia" w:ascii="仿宋" w:hAnsi="仿宋" w:eastAsia="仿宋" w:cs="仿宋"/>
          <w:i w:val="0"/>
          <w:caps w:val="0"/>
          <w:color w:val="000000"/>
          <w:spacing w:val="0"/>
          <w:sz w:val="28"/>
          <w:szCs w:val="28"/>
          <w:bdr w:val="none" w:color="auto" w:sz="0" w:space="0"/>
        </w:rPr>
        <w:t>（7）相关获奖证书原件及复印件；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jc w:val="left"/>
        <w:rPr>
          <w:sz w:val="21"/>
          <w:szCs w:val="21"/>
        </w:rPr>
      </w:pPr>
      <w:r>
        <w:rPr>
          <w:rFonts w:hint="eastAsia" w:ascii="仿宋" w:hAnsi="仿宋" w:eastAsia="仿宋" w:cs="仿宋"/>
          <w:i w:val="0"/>
          <w:caps w:val="0"/>
          <w:color w:val="000000"/>
          <w:spacing w:val="0"/>
          <w:sz w:val="28"/>
          <w:szCs w:val="28"/>
          <w:bdr w:val="none" w:color="auto" w:sz="0" w:space="0"/>
        </w:rPr>
        <w:t>（8）有效期内居民身份证和户口簿原件及复印件；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jc w:val="left"/>
        <w:rPr>
          <w:sz w:val="21"/>
          <w:szCs w:val="21"/>
        </w:rPr>
      </w:pPr>
      <w:r>
        <w:rPr>
          <w:rFonts w:hint="eastAsia" w:ascii="仿宋" w:hAnsi="仿宋" w:eastAsia="仿宋" w:cs="仿宋"/>
          <w:i w:val="0"/>
          <w:caps w:val="0"/>
          <w:color w:val="000000"/>
          <w:spacing w:val="0"/>
          <w:sz w:val="28"/>
          <w:szCs w:val="28"/>
          <w:bdr w:val="none" w:color="auto" w:sz="0" w:space="0"/>
        </w:rPr>
        <w:t>（9）近期一寸证件照1张。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jc w:val="left"/>
        <w:rPr>
          <w:sz w:val="21"/>
          <w:szCs w:val="21"/>
        </w:rPr>
      </w:pPr>
      <w:r>
        <w:rPr>
          <w:rFonts w:hint="eastAsia" w:ascii="黑体" w:hAnsi="宋体" w:eastAsia="黑体" w:cs="黑体"/>
          <w:i w:val="0"/>
          <w:caps w:val="0"/>
          <w:color w:val="000000"/>
          <w:spacing w:val="0"/>
          <w:sz w:val="28"/>
          <w:szCs w:val="28"/>
          <w:bdr w:val="none" w:color="auto" w:sz="0" w:space="0"/>
        </w:rPr>
        <w:t>（三）资格审查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jc w:val="left"/>
        <w:rPr>
          <w:sz w:val="21"/>
          <w:szCs w:val="21"/>
        </w:rPr>
      </w:pPr>
      <w:r>
        <w:rPr>
          <w:rFonts w:hint="eastAsia" w:ascii="仿宋" w:hAnsi="仿宋" w:eastAsia="仿宋" w:cs="仿宋"/>
          <w:i w:val="0"/>
          <w:caps w:val="0"/>
          <w:color w:val="000000"/>
          <w:spacing w:val="0"/>
          <w:sz w:val="28"/>
          <w:szCs w:val="28"/>
          <w:bdr w:val="none" w:color="auto" w:sz="0" w:space="0"/>
        </w:rPr>
        <w:t>招聘学校和教育局根据招聘岗位所需条件，对报名人员进行资格审查，并贯彻至整个招聘工作的全过程。经资格审查合格后，下发《考试通知书》。凭本人身份证参加考试。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jc w:val="left"/>
        <w:rPr>
          <w:sz w:val="21"/>
          <w:szCs w:val="21"/>
        </w:rPr>
      </w:pPr>
      <w:r>
        <w:rPr>
          <w:rFonts w:hint="eastAsia" w:ascii="黑体" w:hAnsi="宋体" w:eastAsia="黑体" w:cs="黑体"/>
          <w:i w:val="0"/>
          <w:caps w:val="0"/>
          <w:color w:val="000000"/>
          <w:spacing w:val="0"/>
          <w:sz w:val="28"/>
          <w:szCs w:val="28"/>
          <w:bdr w:val="none" w:color="auto" w:sz="0" w:space="0"/>
        </w:rPr>
        <w:t>（四）考试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jc w:val="left"/>
        <w:rPr>
          <w:sz w:val="21"/>
          <w:szCs w:val="21"/>
        </w:rPr>
      </w:pPr>
      <w:r>
        <w:rPr>
          <w:rFonts w:hint="eastAsia" w:ascii="仿宋" w:hAnsi="仿宋" w:eastAsia="仿宋" w:cs="仿宋"/>
          <w:i w:val="0"/>
          <w:caps w:val="0"/>
          <w:color w:val="000000"/>
          <w:spacing w:val="0"/>
          <w:sz w:val="28"/>
          <w:szCs w:val="28"/>
          <w:bdr w:val="none" w:color="auto" w:sz="0" w:space="0"/>
        </w:rPr>
        <w:t>经资格审查后，根据招聘岗位计划数与通过资格审查数比例确定是否增加笔试环节，其中：招聘计划数1～2名的按1:6比例、3～4名的按1:3比例、5名及以上的按1：1.5比例（四舍五入）</w:t>
      </w:r>
      <w:r>
        <w:rPr>
          <w:rFonts w:hint="eastAsia" w:ascii="仿宋" w:hAnsi="仿宋" w:eastAsia="仿宋" w:cs="仿宋"/>
          <w:i w:val="0"/>
          <w:caps w:val="0"/>
          <w:color w:val="454545"/>
          <w:spacing w:val="0"/>
          <w:sz w:val="28"/>
          <w:szCs w:val="28"/>
          <w:bdr w:val="none" w:color="auto" w:sz="0" w:space="0"/>
        </w:rPr>
        <w:t>，该招聘岗位通过资格审查数超过以上比例的则增加笔试环节，</w:t>
      </w:r>
      <w:r>
        <w:rPr>
          <w:rFonts w:hint="eastAsia" w:ascii="仿宋" w:hAnsi="仿宋" w:eastAsia="仿宋" w:cs="仿宋"/>
          <w:i w:val="0"/>
          <w:caps w:val="0"/>
          <w:color w:val="000000"/>
          <w:spacing w:val="0"/>
          <w:sz w:val="28"/>
          <w:szCs w:val="28"/>
          <w:bdr w:val="none" w:color="auto" w:sz="0" w:space="0"/>
        </w:rPr>
        <w:t>再根据笔试成绩按以上比例从高分到低分确定入围面试对象，不足规定比例的按实际人数确定入围面试对象。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jc w:val="left"/>
        <w:rPr>
          <w:sz w:val="21"/>
          <w:szCs w:val="21"/>
        </w:rPr>
      </w:pPr>
      <w:r>
        <w:rPr>
          <w:rFonts w:hint="eastAsia" w:ascii="仿宋" w:hAnsi="仿宋" w:eastAsia="仿宋" w:cs="仿宋"/>
          <w:i w:val="0"/>
          <w:caps w:val="0"/>
          <w:color w:val="000000"/>
          <w:spacing w:val="0"/>
          <w:sz w:val="28"/>
          <w:szCs w:val="28"/>
          <w:bdr w:val="none" w:color="auto" w:sz="0" w:space="0"/>
        </w:rPr>
        <w:t>笔试时间：2020年11月28日下午，地点另行通知。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jc w:val="left"/>
        <w:rPr>
          <w:sz w:val="21"/>
          <w:szCs w:val="21"/>
        </w:rPr>
      </w:pPr>
      <w:r>
        <w:rPr>
          <w:rFonts w:hint="eastAsia" w:ascii="仿宋" w:hAnsi="仿宋" w:eastAsia="仿宋" w:cs="仿宋"/>
          <w:i w:val="0"/>
          <w:caps w:val="0"/>
          <w:color w:val="000000"/>
          <w:spacing w:val="0"/>
          <w:sz w:val="28"/>
          <w:szCs w:val="28"/>
          <w:bdr w:val="none" w:color="auto" w:sz="0" w:space="0"/>
        </w:rPr>
        <w:t>面试时间：2020年11月29日（一天），地点另行通知。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jc w:val="left"/>
        <w:rPr>
          <w:sz w:val="21"/>
          <w:szCs w:val="21"/>
        </w:rPr>
      </w:pPr>
      <w:r>
        <w:rPr>
          <w:rFonts w:hint="eastAsia" w:ascii="仿宋" w:hAnsi="仿宋" w:eastAsia="仿宋" w:cs="仿宋"/>
          <w:i w:val="0"/>
          <w:caps w:val="0"/>
          <w:color w:val="000000"/>
          <w:spacing w:val="0"/>
          <w:sz w:val="28"/>
          <w:szCs w:val="28"/>
          <w:bdr w:val="none" w:color="auto" w:sz="0" w:space="0"/>
        </w:rPr>
        <w:t>考试后，根据面试成绩从高分到低分按招考计划的1∶1比例确定拟体检、考察对象。面试成绩满分为100分，合格分为60分。面试成绩不合格者，不能列入体检、考察人选。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rPr>
          <w:sz w:val="21"/>
          <w:szCs w:val="21"/>
        </w:rPr>
      </w:pPr>
      <w:r>
        <w:rPr>
          <w:rFonts w:hint="eastAsia" w:ascii="黑体" w:hAnsi="宋体" w:eastAsia="黑体" w:cs="黑体"/>
          <w:i w:val="0"/>
          <w:caps w:val="0"/>
          <w:color w:val="000000"/>
          <w:spacing w:val="0"/>
          <w:sz w:val="28"/>
          <w:szCs w:val="28"/>
          <w:bdr w:val="none" w:color="auto" w:sz="0" w:space="0"/>
        </w:rPr>
        <w:t>（五）签约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rPr>
          <w:sz w:val="21"/>
          <w:szCs w:val="21"/>
        </w:rPr>
      </w:pPr>
      <w:r>
        <w:rPr>
          <w:rFonts w:hint="eastAsia" w:ascii="仿宋" w:hAnsi="仿宋" w:eastAsia="仿宋" w:cs="仿宋"/>
          <w:i w:val="0"/>
          <w:caps w:val="0"/>
          <w:color w:val="454545"/>
          <w:spacing w:val="0"/>
          <w:sz w:val="28"/>
          <w:szCs w:val="28"/>
          <w:bdr w:val="none" w:color="auto" w:sz="0" w:space="0"/>
        </w:rPr>
        <w:t>（1）本次通过考试的应聘人员，在招聘现场签约，请各位考生随带就业协议书。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rPr>
          <w:sz w:val="21"/>
          <w:szCs w:val="21"/>
        </w:rPr>
      </w:pPr>
      <w:r>
        <w:rPr>
          <w:rFonts w:hint="eastAsia" w:ascii="仿宋" w:hAnsi="仿宋" w:eastAsia="仿宋" w:cs="仿宋"/>
          <w:i w:val="0"/>
          <w:caps w:val="0"/>
          <w:color w:val="454545"/>
          <w:spacing w:val="0"/>
          <w:sz w:val="28"/>
          <w:szCs w:val="28"/>
          <w:bdr w:val="none" w:color="auto" w:sz="0" w:space="0"/>
        </w:rPr>
        <w:t>（2）签约具体时间、地点另行通知，以报名当天通知为准。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rPr>
          <w:sz w:val="21"/>
          <w:szCs w:val="21"/>
        </w:rPr>
      </w:pPr>
      <w:r>
        <w:rPr>
          <w:rFonts w:hint="eastAsia" w:ascii="仿宋" w:hAnsi="仿宋" w:eastAsia="仿宋" w:cs="仿宋"/>
          <w:i w:val="0"/>
          <w:caps w:val="0"/>
          <w:color w:val="454545"/>
          <w:spacing w:val="0"/>
          <w:sz w:val="28"/>
          <w:szCs w:val="28"/>
          <w:bdr w:val="none" w:color="auto" w:sz="0" w:space="0"/>
        </w:rPr>
        <w:t>（3）逾期不到，视作放弃。放弃签约造成岗位空缺的按面试成绩从高分到低分进行递补，递补人员另行通知。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rPr>
          <w:sz w:val="21"/>
          <w:szCs w:val="21"/>
        </w:rPr>
      </w:pPr>
      <w:r>
        <w:rPr>
          <w:rFonts w:hint="eastAsia" w:ascii="仿宋" w:hAnsi="仿宋" w:eastAsia="仿宋" w:cs="仿宋"/>
          <w:i w:val="0"/>
          <w:caps w:val="0"/>
          <w:color w:val="454545"/>
          <w:spacing w:val="0"/>
          <w:sz w:val="28"/>
          <w:szCs w:val="28"/>
          <w:bdr w:val="none" w:color="auto" w:sz="0" w:space="0"/>
        </w:rPr>
        <w:t>（4）签订就业协议的考生还须参加下一步的体检和考核。拟录用人员体检、考核不合格的，解除协议。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rPr>
          <w:sz w:val="21"/>
          <w:szCs w:val="21"/>
        </w:rPr>
      </w:pPr>
      <w:r>
        <w:rPr>
          <w:rFonts w:hint="eastAsia" w:ascii="黑体" w:hAnsi="宋体" w:eastAsia="黑体" w:cs="黑体"/>
          <w:i w:val="0"/>
          <w:caps w:val="0"/>
          <w:color w:val="000000"/>
          <w:spacing w:val="0"/>
          <w:sz w:val="28"/>
          <w:szCs w:val="28"/>
          <w:bdr w:val="none" w:color="auto" w:sz="0" w:space="0"/>
        </w:rPr>
        <w:t>（六）体检、考察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rPr>
          <w:sz w:val="21"/>
          <w:szCs w:val="21"/>
        </w:rPr>
      </w:pPr>
      <w:r>
        <w:rPr>
          <w:rFonts w:hint="eastAsia" w:ascii="仿宋" w:hAnsi="仿宋" w:eastAsia="仿宋" w:cs="仿宋"/>
          <w:i w:val="0"/>
          <w:caps w:val="0"/>
          <w:color w:val="000000"/>
          <w:spacing w:val="0"/>
          <w:sz w:val="28"/>
          <w:szCs w:val="28"/>
          <w:bdr w:val="none" w:color="auto" w:sz="0" w:space="0"/>
        </w:rPr>
        <w:t>由市教育局统一对拟定对象组织体检，体检的要求和标准按《浙江省教师资格认定体检标准》执行。未按规定时间、地点参加体检的，视作放弃。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rPr>
          <w:sz w:val="21"/>
          <w:szCs w:val="21"/>
        </w:rPr>
      </w:pPr>
      <w:r>
        <w:rPr>
          <w:rFonts w:hint="eastAsia" w:ascii="仿宋" w:hAnsi="仿宋" w:eastAsia="仿宋" w:cs="仿宋"/>
          <w:i w:val="0"/>
          <w:caps w:val="0"/>
          <w:color w:val="000000"/>
          <w:spacing w:val="0"/>
          <w:sz w:val="28"/>
          <w:szCs w:val="28"/>
          <w:bdr w:val="none" w:color="auto" w:sz="0" w:space="0"/>
        </w:rPr>
        <w:t>考察工作参照国家公务员局《关于做好公务员录用考察工作的通知》（国公局发〔2013〕2号）进行。考察由市教育局对体检合格的拟聘用人员在规定时间内进行资格条件的复核和德、能、勤、绩、廉以及需要回避的情况等考察。考察结果仅作为本次是否聘用的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rPr>
          <w:sz w:val="21"/>
          <w:szCs w:val="21"/>
        </w:rPr>
      </w:pPr>
      <w:r>
        <w:rPr>
          <w:rFonts w:hint="eastAsia" w:ascii="仿宋" w:hAnsi="仿宋" w:eastAsia="仿宋" w:cs="仿宋"/>
          <w:i w:val="0"/>
          <w:caps w:val="0"/>
          <w:color w:val="000000"/>
          <w:spacing w:val="0"/>
          <w:sz w:val="28"/>
          <w:szCs w:val="28"/>
          <w:bdr w:val="none" w:color="auto" w:sz="0" w:space="0"/>
        </w:rPr>
        <w:t>因放弃体检，或体检不合格、考察不合格，造成拟录用人员数不足招聘计划的，按面试成绩从高分到低分依次递补。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jc w:val="both"/>
      </w:pPr>
      <w:r>
        <w:rPr>
          <w:rFonts w:hint="eastAsia" w:ascii="仿宋" w:hAnsi="仿宋" w:eastAsia="仿宋" w:cs="仿宋"/>
          <w:i w:val="0"/>
          <w:caps w:val="0"/>
          <w:color w:val="454545"/>
          <w:spacing w:val="0"/>
          <w:sz w:val="28"/>
          <w:szCs w:val="28"/>
          <w:bdr w:val="none" w:color="auto" w:sz="0" w:space="0"/>
        </w:rPr>
        <w:t>体检、考察工作实施前，国家出台新规定的，按新规定执行。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rPr>
          <w:sz w:val="21"/>
          <w:szCs w:val="21"/>
        </w:rPr>
      </w:pPr>
      <w:r>
        <w:rPr>
          <w:rFonts w:hint="eastAsia" w:ascii="黑体" w:hAnsi="宋体" w:eastAsia="黑体" w:cs="黑体"/>
          <w:i w:val="0"/>
          <w:caps w:val="0"/>
          <w:color w:val="000000"/>
          <w:spacing w:val="0"/>
          <w:sz w:val="28"/>
          <w:szCs w:val="28"/>
          <w:bdr w:val="none" w:color="auto" w:sz="0" w:space="0"/>
        </w:rPr>
        <w:t>（七）公示拟聘用名单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rPr>
          <w:sz w:val="21"/>
          <w:szCs w:val="21"/>
        </w:rPr>
      </w:pPr>
      <w:r>
        <w:rPr>
          <w:rFonts w:hint="eastAsia" w:ascii="仿宋" w:hAnsi="仿宋" w:eastAsia="仿宋" w:cs="仿宋"/>
          <w:i w:val="0"/>
          <w:caps w:val="0"/>
          <w:color w:val="000000"/>
          <w:spacing w:val="0"/>
          <w:sz w:val="28"/>
          <w:szCs w:val="28"/>
          <w:bdr w:val="none" w:color="auto" w:sz="0" w:space="0"/>
        </w:rPr>
        <w:t>体检、考察结束后，拟聘用人员名单在中国平湖门户网、平湖人才信息网进行公示，时间为7个工作日。公示后放弃的，不再递补。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rPr>
          <w:sz w:val="21"/>
          <w:szCs w:val="21"/>
        </w:rPr>
      </w:pPr>
      <w:r>
        <w:rPr>
          <w:rFonts w:hint="eastAsia" w:ascii="黑体" w:hAnsi="宋体" w:eastAsia="黑体" w:cs="黑体"/>
          <w:i w:val="0"/>
          <w:caps w:val="0"/>
          <w:color w:val="000000"/>
          <w:spacing w:val="0"/>
          <w:sz w:val="28"/>
          <w:szCs w:val="28"/>
          <w:bdr w:val="none" w:color="auto" w:sz="0" w:space="0"/>
        </w:rPr>
        <w:t>（八）办理聘用手续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rPr>
          <w:sz w:val="21"/>
          <w:szCs w:val="21"/>
        </w:rPr>
      </w:pPr>
      <w:r>
        <w:rPr>
          <w:rFonts w:hint="eastAsia" w:ascii="仿宋" w:hAnsi="仿宋" w:eastAsia="仿宋" w:cs="仿宋"/>
          <w:i w:val="0"/>
          <w:caps w:val="0"/>
          <w:color w:val="000000"/>
          <w:spacing w:val="0"/>
          <w:sz w:val="28"/>
          <w:szCs w:val="28"/>
          <w:bdr w:val="none" w:color="auto" w:sz="0" w:space="0"/>
        </w:rPr>
        <w:t>公开招聘的教师列入事业编制管理。对符合聘用条件的人员，按《事业单位人事管理条例》《浙江省事业单位人员聘用制度试行细则》的规定执行，按聘用审批程序办理聘用手续。经市人力社保局核准后，在2021年8月份凭个人档案到教育局组织人事科报到（具体报到时间另行通知）。对无正当理由逾期不报到者，取消聘用资格。报到后学校按相关文件规定与聘用人员签订聘用合同，办理聘用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rPr>
          <w:sz w:val="21"/>
          <w:szCs w:val="21"/>
        </w:rPr>
      </w:pPr>
      <w:r>
        <w:rPr>
          <w:rFonts w:hint="eastAsia" w:ascii="黑体" w:hAnsi="宋体" w:eastAsia="黑体" w:cs="黑体"/>
          <w:i w:val="0"/>
          <w:caps w:val="0"/>
          <w:color w:val="000000"/>
          <w:spacing w:val="0"/>
          <w:sz w:val="28"/>
          <w:szCs w:val="28"/>
          <w:bdr w:val="none" w:color="auto" w:sz="0" w:space="0"/>
        </w:rPr>
        <w:t>四、其它注意事项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rPr>
          <w:sz w:val="21"/>
          <w:szCs w:val="21"/>
        </w:rPr>
      </w:pPr>
      <w:r>
        <w:rPr>
          <w:rFonts w:hint="eastAsia" w:ascii="仿宋" w:hAnsi="仿宋" w:eastAsia="仿宋" w:cs="仿宋"/>
          <w:i w:val="0"/>
          <w:caps w:val="0"/>
          <w:color w:val="000000"/>
          <w:spacing w:val="0"/>
          <w:sz w:val="28"/>
          <w:szCs w:val="28"/>
          <w:bdr w:val="none" w:color="auto" w:sz="0" w:space="0"/>
        </w:rPr>
        <w:t>1.疫情防控。在招聘工作组织实施过程中将按照新冠肺炎疫情防控有关要求，落实防疫措施，必要时将对有关工作安排进行适当调整，请考生理解支持和配合。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rPr>
          <w:sz w:val="21"/>
          <w:szCs w:val="21"/>
        </w:rPr>
      </w:pPr>
      <w:r>
        <w:rPr>
          <w:rFonts w:hint="eastAsia" w:ascii="仿宋" w:hAnsi="仿宋" w:eastAsia="仿宋" w:cs="仿宋"/>
          <w:i w:val="0"/>
          <w:caps w:val="0"/>
          <w:color w:val="000000"/>
          <w:spacing w:val="0"/>
          <w:sz w:val="28"/>
          <w:szCs w:val="28"/>
          <w:bdr w:val="none" w:color="auto" w:sz="0" w:space="0"/>
        </w:rPr>
        <w:t>2.根据《浙江省人事考试考务工作规程（试行）》（浙人社发〔2014〕15号），在近2年内人事考试过程中被认定实施了考试作弊、弄虚作假行为的人员，以及具有法律规定不得聘用为事业单位工作人员的其他情形人员，不得报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rPr>
          <w:sz w:val="21"/>
          <w:szCs w:val="21"/>
        </w:rPr>
      </w:pPr>
      <w:r>
        <w:rPr>
          <w:rFonts w:hint="eastAsia" w:ascii="仿宋" w:hAnsi="仿宋" w:eastAsia="仿宋" w:cs="仿宋"/>
          <w:i w:val="0"/>
          <w:caps w:val="0"/>
          <w:color w:val="000000"/>
          <w:spacing w:val="0"/>
          <w:sz w:val="28"/>
          <w:szCs w:val="28"/>
          <w:bdr w:val="none" w:color="auto" w:sz="0" w:space="0"/>
        </w:rPr>
        <w:t>３.具有双专业的毕业生，不能以辅修专业报名。研究生可按本科或研究生所学专业进行报考。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rPr>
          <w:sz w:val="21"/>
          <w:szCs w:val="21"/>
        </w:rPr>
      </w:pPr>
      <w:r>
        <w:rPr>
          <w:rFonts w:hint="eastAsia" w:ascii="仿宋" w:hAnsi="仿宋" w:eastAsia="仿宋" w:cs="仿宋"/>
          <w:i w:val="0"/>
          <w:caps w:val="0"/>
          <w:color w:val="000000"/>
          <w:spacing w:val="0"/>
          <w:sz w:val="28"/>
          <w:szCs w:val="28"/>
          <w:bdr w:val="none" w:color="auto" w:sz="0" w:space="0"/>
        </w:rPr>
        <w:t>４.拟录用的应届毕业生须在2021年9月30日前取得相应的学历及学位证书。毕业证书上的学历、专业与报考岗位所要求的学历、专业不相符的，取消录用资格。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rPr>
          <w:sz w:val="21"/>
          <w:szCs w:val="21"/>
        </w:rPr>
      </w:pPr>
      <w:r>
        <w:rPr>
          <w:rFonts w:hint="eastAsia" w:ascii="仿宋" w:hAnsi="仿宋" w:eastAsia="仿宋" w:cs="仿宋"/>
          <w:i w:val="0"/>
          <w:caps w:val="0"/>
          <w:color w:val="000000"/>
          <w:spacing w:val="0"/>
          <w:sz w:val="28"/>
          <w:szCs w:val="28"/>
          <w:bdr w:val="none" w:color="auto" w:sz="0" w:space="0"/>
        </w:rPr>
        <w:t>５.录用聘任后执行服务期制度</w:t>
      </w:r>
      <w:r>
        <w:rPr>
          <w:rFonts w:hint="eastAsia" w:ascii="仿宋" w:hAnsi="仿宋" w:eastAsia="仿宋" w:cs="仿宋"/>
          <w:i w:val="0"/>
          <w:caps w:val="0"/>
          <w:color w:val="454545"/>
          <w:spacing w:val="0"/>
          <w:sz w:val="28"/>
          <w:szCs w:val="28"/>
          <w:bdr w:val="none" w:color="auto" w:sz="0" w:space="0"/>
        </w:rPr>
        <w:t>，在招聘学校最低服务年限为三年。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jc w:val="left"/>
        <w:rPr>
          <w:sz w:val="21"/>
          <w:szCs w:val="21"/>
        </w:rPr>
      </w:pPr>
      <w:r>
        <w:rPr>
          <w:rFonts w:hint="eastAsia" w:ascii="仿宋" w:hAnsi="仿宋" w:eastAsia="仿宋" w:cs="仿宋"/>
          <w:i w:val="0"/>
          <w:caps w:val="0"/>
          <w:color w:val="000000"/>
          <w:spacing w:val="0"/>
          <w:sz w:val="28"/>
          <w:szCs w:val="28"/>
          <w:bdr w:val="none" w:color="auto" w:sz="0" w:space="0"/>
        </w:rPr>
        <w:t>6.被录用人员须与学校签订一年期聘用合同，合同期满经考核不合格的，学校将解除聘用合同。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jc w:val="left"/>
        <w:rPr>
          <w:sz w:val="21"/>
          <w:szCs w:val="21"/>
        </w:rPr>
      </w:pPr>
      <w:r>
        <w:rPr>
          <w:rFonts w:hint="eastAsia" w:ascii="仿宋" w:hAnsi="仿宋" w:eastAsia="仿宋" w:cs="仿宋"/>
          <w:i w:val="0"/>
          <w:caps w:val="0"/>
          <w:color w:val="000000"/>
          <w:spacing w:val="0"/>
          <w:sz w:val="28"/>
          <w:szCs w:val="28"/>
          <w:bdr w:val="none" w:color="auto" w:sz="0" w:space="0"/>
        </w:rPr>
        <w:t>７.聘用人员应在2022年12月31日前取得相应岗位的教师资格证书，否则解除聘用合同。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jc w:val="left"/>
        <w:rPr>
          <w:sz w:val="21"/>
          <w:szCs w:val="21"/>
        </w:rPr>
      </w:pPr>
      <w:r>
        <w:rPr>
          <w:rFonts w:hint="eastAsia" w:ascii="仿宋" w:hAnsi="仿宋" w:eastAsia="仿宋" w:cs="仿宋"/>
          <w:i w:val="0"/>
          <w:caps w:val="0"/>
          <w:color w:val="000000"/>
          <w:spacing w:val="0"/>
          <w:sz w:val="28"/>
          <w:szCs w:val="28"/>
          <w:bdr w:val="none" w:color="auto" w:sz="0" w:space="0"/>
        </w:rPr>
        <w:t>８.本次公开招聘在平湖市人力社保局、市纪委监委派驻第六纪检监察组监督下进行。监督电话：0573-85060570 （市人力社保局事业单位人事管理科），0573-85628670（市纪委监委派驻第六纪检监察组）。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jc w:val="left"/>
        <w:rPr>
          <w:sz w:val="21"/>
          <w:szCs w:val="21"/>
        </w:rPr>
      </w:pPr>
      <w:r>
        <w:rPr>
          <w:rFonts w:hint="eastAsia" w:ascii="仿宋" w:hAnsi="仿宋" w:eastAsia="仿宋" w:cs="仿宋"/>
          <w:i w:val="0"/>
          <w:caps w:val="0"/>
          <w:color w:val="000000"/>
          <w:spacing w:val="0"/>
          <w:sz w:val="28"/>
          <w:szCs w:val="28"/>
          <w:bdr w:val="none" w:color="auto" w:sz="0" w:space="0"/>
        </w:rPr>
        <w:t>9.未尽事项由市教育局负责解释。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jc w:val="left"/>
        <w:rPr>
          <w:sz w:val="21"/>
          <w:szCs w:val="21"/>
        </w:rPr>
      </w:pPr>
      <w:r>
        <w:rPr>
          <w:rFonts w:hint="eastAsia" w:ascii="仿宋" w:hAnsi="仿宋" w:eastAsia="仿宋" w:cs="仿宋"/>
          <w:i w:val="0"/>
          <w:caps w:val="0"/>
          <w:color w:val="000000"/>
          <w:spacing w:val="0"/>
          <w:sz w:val="28"/>
          <w:szCs w:val="28"/>
          <w:bdr w:val="none" w:color="auto" w:sz="0" w:space="0"/>
        </w:rPr>
        <w:t>招聘咨询电话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jc w:val="left"/>
        <w:rPr>
          <w:sz w:val="21"/>
          <w:szCs w:val="21"/>
        </w:rPr>
      </w:pPr>
      <w:r>
        <w:rPr>
          <w:rFonts w:hint="eastAsia" w:ascii="仿宋" w:hAnsi="仿宋" w:eastAsia="仿宋" w:cs="仿宋"/>
          <w:i w:val="0"/>
          <w:caps w:val="0"/>
          <w:color w:val="000000"/>
          <w:spacing w:val="0"/>
          <w:sz w:val="28"/>
          <w:szCs w:val="28"/>
          <w:bdr w:val="none" w:color="auto" w:sz="0" w:space="0"/>
        </w:rPr>
        <w:t>平湖市教育局组织人事科    王老师  0573-85236887</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0"/>
        <w:jc w:val="left"/>
        <w:rPr>
          <w:sz w:val="21"/>
          <w:szCs w:val="21"/>
        </w:rPr>
      </w:pPr>
      <w:r>
        <w:rPr>
          <w:rFonts w:hint="eastAsia" w:ascii="仿宋" w:hAnsi="仿宋" w:eastAsia="仿宋" w:cs="仿宋"/>
          <w:i w:val="0"/>
          <w:caps w:val="0"/>
          <w:color w:val="000000"/>
          <w:spacing w:val="0"/>
          <w:sz w:val="28"/>
          <w:szCs w:val="28"/>
          <w:bdr w:val="none" w:color="auto" w:sz="0" w:space="0"/>
        </w:rPr>
        <w:t>陈老师　0573-85236895</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0"/>
        <w:jc w:val="left"/>
        <w:rPr>
          <w:sz w:val="21"/>
          <w:szCs w:val="21"/>
        </w:rPr>
      </w:pPr>
      <w:r>
        <w:rPr>
          <w:rFonts w:hint="eastAsia" w:ascii="仿宋" w:hAnsi="仿宋" w:eastAsia="仿宋" w:cs="仿宋"/>
          <w:i w:val="0"/>
          <w:caps w:val="0"/>
          <w:color w:val="000000"/>
          <w:spacing w:val="0"/>
          <w:sz w:val="28"/>
          <w:szCs w:val="28"/>
          <w:bdr w:val="none" w:color="auto" w:sz="0" w:space="0"/>
        </w:rPr>
        <w:t>俞老师　0573-85557299</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0"/>
        <w:jc w:val="left"/>
        <w:rPr>
          <w:sz w:val="21"/>
          <w:szCs w:val="21"/>
        </w:rPr>
      </w:pPr>
      <w:r>
        <w:rPr>
          <w:rFonts w:hint="eastAsia" w:ascii="仿宋" w:hAnsi="仿宋" w:eastAsia="仿宋" w:cs="仿宋"/>
          <w:i w:val="0"/>
          <w:caps w:val="0"/>
          <w:color w:val="000000"/>
          <w:spacing w:val="0"/>
          <w:sz w:val="28"/>
          <w:szCs w:val="28"/>
          <w:bdr w:val="none" w:color="auto" w:sz="0" w:space="0"/>
        </w:rPr>
        <w:t>金老师  0573-85236899</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jc w:val="left"/>
        <w:rPr>
          <w:sz w:val="21"/>
          <w:szCs w:val="21"/>
        </w:rPr>
      </w:pPr>
      <w:r>
        <w:rPr>
          <w:rFonts w:hint="eastAsia" w:ascii="仿宋" w:hAnsi="仿宋" w:eastAsia="仿宋" w:cs="仿宋"/>
          <w:i w:val="0"/>
          <w:caps w:val="0"/>
          <w:color w:val="000000"/>
          <w:spacing w:val="0"/>
          <w:sz w:val="28"/>
          <w:szCs w:val="28"/>
          <w:bdr w:val="none" w:color="auto" w:sz="0" w:space="0"/>
        </w:rPr>
        <w:t>浙江省平湖中学            王老师  0573-85087123</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jc w:val="left"/>
        <w:rPr>
          <w:sz w:val="21"/>
          <w:szCs w:val="21"/>
        </w:rPr>
      </w:pPr>
      <w:r>
        <w:rPr>
          <w:rFonts w:hint="eastAsia" w:ascii="仿宋" w:hAnsi="仿宋" w:eastAsia="仿宋" w:cs="仿宋"/>
          <w:i w:val="0"/>
          <w:caps w:val="0"/>
          <w:color w:val="000000"/>
          <w:spacing w:val="0"/>
          <w:sz w:val="28"/>
          <w:szCs w:val="28"/>
          <w:bdr w:val="none" w:color="auto" w:sz="0" w:space="0"/>
        </w:rPr>
        <w:t>平湖市当湖高级中学        王老师　0573-89172196</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jc w:val="left"/>
        <w:rPr>
          <w:sz w:val="21"/>
          <w:szCs w:val="21"/>
        </w:rPr>
      </w:pPr>
      <w:r>
        <w:rPr>
          <w:rFonts w:hint="eastAsia" w:ascii="仿宋" w:hAnsi="仿宋" w:eastAsia="仿宋" w:cs="仿宋"/>
          <w:i w:val="0"/>
          <w:caps w:val="0"/>
          <w:color w:val="000000"/>
          <w:spacing w:val="0"/>
          <w:sz w:val="28"/>
          <w:szCs w:val="28"/>
          <w:bdr w:val="none" w:color="auto" w:sz="0" w:space="0"/>
        </w:rPr>
        <w:t>平湖市新华爱心高级中学　　沈老师　0573-85019417</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jc w:val="left"/>
        <w:rPr>
          <w:sz w:val="21"/>
          <w:szCs w:val="21"/>
        </w:rPr>
      </w:pPr>
      <w:r>
        <w:rPr>
          <w:rFonts w:hint="eastAsia" w:ascii="仿宋" w:hAnsi="仿宋" w:eastAsia="仿宋" w:cs="仿宋"/>
          <w:i w:val="0"/>
          <w:caps w:val="0"/>
          <w:color w:val="000000"/>
          <w:spacing w:val="0"/>
          <w:sz w:val="28"/>
          <w:szCs w:val="28"/>
          <w:bdr w:val="none" w:color="auto" w:sz="0" w:space="0"/>
        </w:rPr>
        <w:t>平湖市乍浦高级中学        孙老师  0573-89170858</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jc w:val="left"/>
        <w:rPr>
          <w:sz w:val="21"/>
          <w:szCs w:val="21"/>
        </w:rPr>
      </w:pPr>
      <w:r>
        <w:rPr>
          <w:rFonts w:hint="eastAsia" w:ascii="仿宋" w:hAnsi="仿宋" w:eastAsia="仿宋" w:cs="仿宋"/>
          <w:i w:val="0"/>
          <w:caps w:val="0"/>
          <w:color w:val="000000"/>
          <w:spacing w:val="0"/>
          <w:sz w:val="28"/>
          <w:szCs w:val="28"/>
          <w:bdr w:val="none" w:color="auto" w:sz="0" w:space="0"/>
        </w:rPr>
        <w:t>平湖技师学院       　     宋老师  0573-85219551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jc w:val="left"/>
        <w:rPr>
          <w:sz w:val="21"/>
          <w:szCs w:val="21"/>
        </w:rPr>
      </w:pPr>
      <w:r>
        <w:rPr>
          <w:rFonts w:hint="eastAsia" w:ascii="仿宋" w:hAnsi="仿宋" w:eastAsia="仿宋" w:cs="仿宋"/>
          <w:i w:val="0"/>
          <w:caps w:val="0"/>
          <w:color w:val="000000"/>
          <w:spacing w:val="0"/>
          <w:sz w:val="28"/>
          <w:szCs w:val="28"/>
          <w:bdr w:val="none" w:color="auto" w:sz="0" w:space="0"/>
        </w:rPr>
        <w:t>平湖市职业中等专业学校    陈老师  0573-85133960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jc w:val="left"/>
        <w:rPr>
          <w:sz w:val="21"/>
          <w:szCs w:val="21"/>
        </w:rPr>
      </w:pPr>
      <w:r>
        <w:rPr>
          <w:rFonts w:hint="eastAsia" w:ascii="仿宋" w:hAnsi="仿宋" w:eastAsia="仿宋" w:cs="仿宋"/>
          <w:i w:val="0"/>
          <w:caps w:val="0"/>
          <w:color w:val="000000"/>
          <w:spacing w:val="0"/>
          <w:sz w:val="28"/>
          <w:szCs w:val="28"/>
          <w:bdr w:val="none" w:color="auto" w:sz="0" w:space="0"/>
        </w:rPr>
        <w:t>平湖市培智学校            李老师  0573-85639626</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jc w:val="both"/>
      </w:pPr>
      <w:r>
        <w:rPr>
          <w:rFonts w:hint="eastAsia" w:ascii="仿宋" w:hAnsi="仿宋" w:eastAsia="仿宋" w:cs="仿宋"/>
          <w:i w:val="0"/>
          <w:caps w:val="0"/>
          <w:color w:val="000000"/>
          <w:spacing w:val="0"/>
          <w:sz w:val="28"/>
          <w:szCs w:val="28"/>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jc w:val="both"/>
      </w:pPr>
      <w:r>
        <w:rPr>
          <w:rFonts w:hint="default" w:ascii="仿宋_GB2312" w:hAnsi="微软雅黑" w:eastAsia="仿宋_GB2312" w:cs="仿宋_GB2312"/>
          <w:i w:val="0"/>
          <w:caps w:val="0"/>
          <w:color w:val="000000"/>
          <w:spacing w:val="0"/>
          <w:sz w:val="28"/>
          <w:szCs w:val="28"/>
          <w:bdr w:val="none" w:color="auto" w:sz="0" w:space="0"/>
        </w:rPr>
        <w:t>附件1：平湖市教育局校园招聘2021学年教师计划与岗位报考要求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jc w:val="both"/>
      </w:pPr>
      <w:r>
        <w:rPr>
          <w:rFonts w:hint="default" w:ascii="仿宋_GB2312" w:hAnsi="微软雅黑" w:eastAsia="仿宋_GB2312" w:cs="仿宋_GB2312"/>
          <w:i w:val="0"/>
          <w:caps w:val="0"/>
          <w:color w:val="000000"/>
          <w:spacing w:val="0"/>
          <w:sz w:val="28"/>
          <w:szCs w:val="28"/>
          <w:bdr w:val="none" w:color="auto" w:sz="0" w:space="0"/>
        </w:rPr>
        <w:t>附件2：</w:t>
      </w:r>
      <w:r>
        <w:rPr>
          <w:rFonts w:hint="default" w:ascii="仿宋_GB2312" w:hAnsi="微软雅黑" w:eastAsia="仿宋_GB2312" w:cs="仿宋_GB2312"/>
          <w:i w:val="0"/>
          <w:caps w:val="0"/>
          <w:spacing w:val="0"/>
          <w:sz w:val="28"/>
          <w:szCs w:val="28"/>
          <w:u w:val="none"/>
          <w:bdr w:val="none" w:color="auto" w:sz="0" w:space="0"/>
        </w:rPr>
        <w:fldChar w:fldCharType="begin"/>
      </w:r>
      <w:r>
        <w:rPr>
          <w:rFonts w:hint="default" w:ascii="仿宋_GB2312" w:hAnsi="微软雅黑" w:eastAsia="仿宋_GB2312" w:cs="仿宋_GB2312"/>
          <w:i w:val="0"/>
          <w:caps w:val="0"/>
          <w:spacing w:val="0"/>
          <w:sz w:val="28"/>
          <w:szCs w:val="28"/>
          <w:u w:val="none"/>
          <w:bdr w:val="none" w:color="auto" w:sz="0" w:space="0"/>
        </w:rPr>
        <w:instrText xml:space="preserve"> HYPERLINK "http://www.pinghu.gov.cn/module/download/downfile.jsp?classid=0&amp;filename=0900081f76394838b9673a11e7d6aa00.docx" </w:instrText>
      </w:r>
      <w:r>
        <w:rPr>
          <w:rFonts w:hint="default" w:ascii="仿宋_GB2312" w:hAnsi="微软雅黑" w:eastAsia="仿宋_GB2312" w:cs="仿宋_GB2312"/>
          <w:i w:val="0"/>
          <w:caps w:val="0"/>
          <w:spacing w:val="0"/>
          <w:sz w:val="28"/>
          <w:szCs w:val="28"/>
          <w:u w:val="none"/>
          <w:bdr w:val="none" w:color="auto" w:sz="0" w:space="0"/>
        </w:rPr>
        <w:fldChar w:fldCharType="separate"/>
      </w:r>
      <w:r>
        <w:rPr>
          <w:rStyle w:val="8"/>
          <w:rFonts w:hint="default" w:ascii="仿宋_GB2312" w:hAnsi="微软雅黑" w:eastAsia="仿宋_GB2312" w:cs="仿宋_GB2312"/>
          <w:i w:val="0"/>
          <w:caps w:val="0"/>
          <w:spacing w:val="0"/>
          <w:sz w:val="28"/>
          <w:szCs w:val="28"/>
          <w:u w:val="none"/>
          <w:bdr w:val="none" w:color="auto" w:sz="0" w:space="0"/>
        </w:rPr>
        <w:t>平湖市教育局校园招聘2021学年教师报名登记表.docx</w:t>
      </w:r>
      <w:r>
        <w:rPr>
          <w:rFonts w:hint="default" w:ascii="仿宋_GB2312" w:hAnsi="微软雅黑" w:eastAsia="仿宋_GB2312" w:cs="仿宋_GB2312"/>
          <w:i w:val="0"/>
          <w:caps w:val="0"/>
          <w:spacing w:val="0"/>
          <w:sz w:val="28"/>
          <w:szCs w:val="28"/>
          <w:u w:val="none"/>
          <w:bdr w:val="none" w:color="auto" w:sz="0" w:space="0"/>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jc w:val="both"/>
      </w:pPr>
      <w:r>
        <w:rPr>
          <w:rFonts w:hint="default" w:ascii="仿宋_GB2312" w:hAnsi="微软雅黑" w:eastAsia="仿宋_GB2312" w:cs="仿宋_GB2312"/>
          <w:i w:val="0"/>
          <w:caps w:val="0"/>
          <w:color w:val="000000"/>
          <w:spacing w:val="0"/>
          <w:sz w:val="28"/>
          <w:szCs w:val="28"/>
          <w:bdr w:val="none" w:color="auto" w:sz="0" w:space="0"/>
        </w:rPr>
        <w:t>附件3：疫情防控相关要求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left"/>
        <w:rPr>
          <w:sz w:val="21"/>
          <w:szCs w:val="21"/>
        </w:rPr>
      </w:pPr>
      <w:r>
        <w:rPr>
          <w:rFonts w:hint="eastAsia" w:ascii="微软雅黑" w:hAnsi="微软雅黑" w:eastAsia="微软雅黑" w:cs="微软雅黑"/>
          <w:i w:val="0"/>
          <w:caps w:val="0"/>
          <w:color w:val="454545"/>
          <w:spacing w:val="0"/>
          <w:sz w:val="28"/>
          <w:szCs w:val="28"/>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040"/>
        <w:jc w:val="right"/>
        <w:rPr>
          <w:sz w:val="21"/>
          <w:szCs w:val="21"/>
        </w:rPr>
      </w:pPr>
      <w:r>
        <w:rPr>
          <w:rFonts w:hint="eastAsia" w:ascii="仿宋" w:hAnsi="仿宋" w:eastAsia="仿宋" w:cs="仿宋"/>
          <w:i w:val="0"/>
          <w:caps w:val="0"/>
          <w:color w:val="454545"/>
          <w:spacing w:val="0"/>
          <w:sz w:val="28"/>
          <w:szCs w:val="28"/>
          <w:bdr w:val="none" w:color="auto" w:sz="0" w:space="0"/>
        </w:rPr>
        <w:t>平湖市教育局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jc w:val="right"/>
        <w:rPr>
          <w:sz w:val="21"/>
          <w:szCs w:val="21"/>
        </w:rPr>
      </w:pPr>
      <w:r>
        <w:rPr>
          <w:rFonts w:hint="eastAsia" w:ascii="仿宋" w:hAnsi="仿宋" w:eastAsia="仿宋" w:cs="仿宋"/>
          <w:i w:val="0"/>
          <w:caps w:val="0"/>
          <w:color w:val="454545"/>
          <w:spacing w:val="0"/>
          <w:sz w:val="28"/>
          <w:szCs w:val="28"/>
          <w:bdr w:val="none" w:color="auto" w:sz="0" w:space="0"/>
        </w:rPr>
        <w:t>   2021年11月18日  </w:t>
      </w:r>
      <w:r>
        <w:rPr>
          <w:rFonts w:hint="eastAsia" w:ascii="微软雅黑" w:hAnsi="微软雅黑" w:eastAsia="微软雅黑" w:cs="微软雅黑"/>
          <w:i w:val="0"/>
          <w:caps w:val="0"/>
          <w:color w:val="454545"/>
          <w:spacing w:val="0"/>
          <w:sz w:val="28"/>
          <w:szCs w:val="28"/>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sz w:val="21"/>
          <w:szCs w:val="21"/>
        </w:rPr>
      </w:pPr>
      <w:r>
        <w:rPr>
          <w:rFonts w:hint="eastAsia" w:ascii="宋体" w:hAnsi="宋体" w:eastAsia="宋体" w:cs="宋体"/>
          <w:i w:val="0"/>
          <w:caps w:val="0"/>
          <w:color w:val="000000"/>
          <w:spacing w:val="0"/>
          <w:sz w:val="28"/>
          <w:szCs w:val="28"/>
          <w:bdr w:val="none" w:color="auto" w:sz="0" w:space="0"/>
        </w:rPr>
        <w:t>附件1：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center"/>
        <w:rPr>
          <w:sz w:val="21"/>
          <w:szCs w:val="21"/>
        </w:rPr>
      </w:pPr>
      <w:r>
        <w:rPr>
          <w:rStyle w:val="7"/>
          <w:rFonts w:hint="eastAsia" w:ascii="宋体" w:hAnsi="宋体" w:eastAsia="宋体" w:cs="宋体"/>
          <w:i w:val="0"/>
          <w:caps w:val="0"/>
          <w:color w:val="000000"/>
          <w:spacing w:val="0"/>
          <w:sz w:val="36"/>
          <w:szCs w:val="36"/>
          <w:bdr w:val="none" w:color="auto" w:sz="0" w:space="0"/>
        </w:rPr>
        <w:t>平湖市教育局校园招聘2021学年教师计划与岗位报考要求</w:t>
      </w:r>
    </w:p>
    <w:tbl>
      <w:tblPr>
        <w:tblW w:w="10740" w:type="dxa"/>
        <w:jc w:val="center"/>
        <w:shd w:val="clear"/>
        <w:tblLayout w:type="autofit"/>
        <w:tblCellMar>
          <w:top w:w="0" w:type="dxa"/>
          <w:left w:w="0" w:type="dxa"/>
          <w:bottom w:w="0" w:type="dxa"/>
          <w:right w:w="0" w:type="dxa"/>
        </w:tblCellMar>
      </w:tblPr>
      <w:tblGrid>
        <w:gridCol w:w="465"/>
        <w:gridCol w:w="570"/>
        <w:gridCol w:w="1500"/>
        <w:gridCol w:w="495"/>
        <w:gridCol w:w="930"/>
        <w:gridCol w:w="5460"/>
        <w:gridCol w:w="1320"/>
      </w:tblGrid>
      <w:tr>
        <w:tblPrEx>
          <w:shd w:val="clear"/>
          <w:tblCellMar>
            <w:top w:w="0" w:type="dxa"/>
            <w:left w:w="0" w:type="dxa"/>
            <w:bottom w:w="0" w:type="dxa"/>
            <w:right w:w="0" w:type="dxa"/>
          </w:tblCellMar>
        </w:tblPrEx>
        <w:trPr>
          <w:trHeight w:val="91" w:hRule="atLeast"/>
          <w:jc w:val="center"/>
        </w:trPr>
        <w:tc>
          <w:tcPr>
            <w:tcW w:w="46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Style w:val="7"/>
                <w:rFonts w:hint="eastAsia" w:ascii="宋体" w:hAnsi="宋体" w:eastAsia="宋体" w:cs="宋体"/>
                <w:sz w:val="18"/>
                <w:szCs w:val="18"/>
                <w:bdr w:val="none" w:color="auto" w:sz="0" w:space="0"/>
              </w:rPr>
              <w:t>类别</w:t>
            </w:r>
          </w:p>
        </w:tc>
        <w:tc>
          <w:tcPr>
            <w:tcW w:w="570" w:type="dxa"/>
            <w:tcBorders>
              <w:top w:val="single" w:color="auto" w:sz="6" w:space="0"/>
              <w:left w:val="nil"/>
              <w:bottom w:val="single" w:color="auto"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Style w:val="7"/>
                <w:rFonts w:hint="eastAsia" w:ascii="宋体" w:hAnsi="宋体" w:eastAsia="宋体" w:cs="宋体"/>
                <w:sz w:val="18"/>
                <w:szCs w:val="18"/>
                <w:bdr w:val="none" w:color="auto" w:sz="0" w:space="0"/>
              </w:rPr>
              <w:t>学段</w:t>
            </w:r>
          </w:p>
        </w:tc>
        <w:tc>
          <w:tcPr>
            <w:tcW w:w="1500" w:type="dxa"/>
            <w:tcBorders>
              <w:top w:val="single" w:color="auto" w:sz="6" w:space="0"/>
              <w:left w:val="nil"/>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Style w:val="7"/>
                <w:rFonts w:hint="eastAsia" w:ascii="宋体" w:hAnsi="宋体" w:eastAsia="宋体" w:cs="宋体"/>
                <w:sz w:val="18"/>
                <w:szCs w:val="18"/>
                <w:bdr w:val="none" w:color="auto" w:sz="0" w:space="0"/>
              </w:rPr>
              <w:t>招聘单位</w:t>
            </w:r>
          </w:p>
        </w:tc>
        <w:tc>
          <w:tcPr>
            <w:tcW w:w="495" w:type="dxa"/>
            <w:tcBorders>
              <w:top w:val="single" w:color="auto" w:sz="6" w:space="0"/>
              <w:left w:val="nil"/>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sz w:val="21"/>
                <w:szCs w:val="21"/>
              </w:rPr>
            </w:pPr>
            <w:r>
              <w:rPr>
                <w:rStyle w:val="7"/>
                <w:rFonts w:hint="eastAsia" w:ascii="宋体" w:hAnsi="宋体" w:eastAsia="宋体" w:cs="宋体"/>
                <w:sz w:val="18"/>
                <w:szCs w:val="18"/>
                <w:bdr w:val="none" w:color="auto" w:sz="0" w:space="0"/>
              </w:rPr>
              <w:t>招聘计划</w:t>
            </w:r>
          </w:p>
        </w:tc>
        <w:tc>
          <w:tcPr>
            <w:tcW w:w="930" w:type="dxa"/>
            <w:tcBorders>
              <w:top w:val="single" w:color="auto" w:sz="6" w:space="0"/>
              <w:left w:val="nil"/>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sz w:val="21"/>
                <w:szCs w:val="21"/>
              </w:rPr>
            </w:pPr>
            <w:r>
              <w:rPr>
                <w:rStyle w:val="7"/>
                <w:rFonts w:hint="eastAsia" w:ascii="宋体" w:hAnsi="宋体" w:eastAsia="宋体" w:cs="宋体"/>
                <w:sz w:val="18"/>
                <w:szCs w:val="18"/>
                <w:bdr w:val="none" w:color="auto" w:sz="0" w:space="0"/>
              </w:rPr>
              <w:t>招聘学科（岗位）</w:t>
            </w:r>
          </w:p>
        </w:tc>
        <w:tc>
          <w:tcPr>
            <w:tcW w:w="5460" w:type="dxa"/>
            <w:tcBorders>
              <w:top w:val="single" w:color="auto" w:sz="6" w:space="0"/>
              <w:left w:val="nil"/>
              <w:bottom w:val="single" w:color="000000"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Style w:val="7"/>
                <w:rFonts w:hint="eastAsia" w:ascii="宋体" w:hAnsi="宋体" w:eastAsia="宋体" w:cs="宋体"/>
                <w:sz w:val="18"/>
                <w:szCs w:val="18"/>
                <w:bdr w:val="none" w:color="auto" w:sz="0" w:space="0"/>
              </w:rPr>
              <w:t>专业要求</w:t>
            </w:r>
          </w:p>
        </w:tc>
        <w:tc>
          <w:tcPr>
            <w:tcW w:w="1320" w:type="dxa"/>
            <w:tcBorders>
              <w:top w:val="single" w:color="000000" w:sz="6" w:space="0"/>
              <w:left w:val="nil"/>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sz w:val="21"/>
                <w:szCs w:val="21"/>
              </w:rPr>
            </w:pPr>
            <w:r>
              <w:rPr>
                <w:rStyle w:val="7"/>
                <w:rFonts w:hint="eastAsia" w:ascii="宋体" w:hAnsi="宋体" w:eastAsia="宋体" w:cs="宋体"/>
                <w:sz w:val="18"/>
                <w:szCs w:val="18"/>
                <w:bdr w:val="none" w:color="auto" w:sz="0" w:space="0"/>
              </w:rPr>
              <w:t>其他要求</w:t>
            </w:r>
          </w:p>
        </w:tc>
      </w:tr>
      <w:tr>
        <w:tblPrEx>
          <w:tblCellMar>
            <w:top w:w="0" w:type="dxa"/>
            <w:left w:w="0" w:type="dxa"/>
            <w:bottom w:w="0" w:type="dxa"/>
            <w:right w:w="0" w:type="dxa"/>
          </w:tblCellMar>
        </w:tblPrEx>
        <w:trPr>
          <w:trHeight w:val="360" w:hRule="atLeast"/>
          <w:jc w:val="center"/>
        </w:trPr>
        <w:tc>
          <w:tcPr>
            <w:tcW w:w="465" w:type="dxa"/>
            <w:vMerge w:val="restart"/>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eastAsia" w:ascii="宋体" w:hAnsi="宋体" w:eastAsia="宋体" w:cs="宋体"/>
                <w:sz w:val="18"/>
                <w:szCs w:val="18"/>
                <w:bdr w:val="none" w:color="auto" w:sz="0" w:space="0"/>
              </w:rPr>
              <w:t>基础课</w:t>
            </w:r>
          </w:p>
        </w:tc>
        <w:tc>
          <w:tcPr>
            <w:tcW w:w="570" w:type="dxa"/>
            <w:vMerge w:val="restart"/>
            <w:tcBorders>
              <w:top w:val="nil"/>
              <w:left w:val="nil"/>
              <w:bottom w:val="single" w:color="auto"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eastAsia" w:ascii="宋体" w:hAnsi="宋体" w:eastAsia="宋体" w:cs="宋体"/>
                <w:sz w:val="18"/>
                <w:szCs w:val="18"/>
                <w:bdr w:val="none" w:color="auto" w:sz="0" w:space="0"/>
              </w:rPr>
              <w:t>高中段</w:t>
            </w:r>
          </w:p>
        </w:tc>
        <w:tc>
          <w:tcPr>
            <w:tcW w:w="1500" w:type="dxa"/>
            <w:vMerge w:val="restart"/>
            <w:tcBorders>
              <w:top w:val="nil"/>
              <w:left w:val="nil"/>
              <w:bottom w:val="single" w:color="auto"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sz w:val="21"/>
                <w:szCs w:val="21"/>
              </w:rPr>
            </w:pPr>
            <w:r>
              <w:rPr>
                <w:rFonts w:hint="eastAsia" w:ascii="宋体" w:hAnsi="宋体" w:eastAsia="宋体" w:cs="宋体"/>
                <w:sz w:val="18"/>
                <w:szCs w:val="18"/>
                <w:bdr w:val="none" w:color="auto" w:sz="0" w:space="0"/>
              </w:rPr>
              <w:t>浙江省平湖中学</w:t>
            </w:r>
          </w:p>
        </w:tc>
        <w:tc>
          <w:tcPr>
            <w:tcW w:w="495"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eastAsia" w:ascii="宋体" w:hAnsi="宋体" w:eastAsia="宋体" w:cs="宋体"/>
                <w:sz w:val="18"/>
                <w:szCs w:val="18"/>
                <w:bdr w:val="none" w:color="auto" w:sz="0" w:space="0"/>
              </w:rPr>
              <w:t>1</w:t>
            </w:r>
          </w:p>
        </w:tc>
        <w:tc>
          <w:tcPr>
            <w:tcW w:w="930"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8"/>
                <w:szCs w:val="18"/>
                <w:bdr w:val="none" w:color="auto" w:sz="0" w:space="0"/>
              </w:rPr>
              <w:t>语文</w:t>
            </w:r>
          </w:p>
        </w:tc>
        <w:tc>
          <w:tcPr>
            <w:tcW w:w="5460" w:type="dxa"/>
            <w:tcBorders>
              <w:top w:val="nil"/>
              <w:left w:val="nil"/>
              <w:bottom w:val="single" w:color="000000"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sz w:val="21"/>
                <w:szCs w:val="21"/>
              </w:rPr>
            </w:pPr>
            <w:r>
              <w:rPr>
                <w:rFonts w:hint="eastAsia" w:ascii="宋体" w:hAnsi="宋体" w:eastAsia="宋体" w:cs="宋体"/>
                <w:sz w:val="18"/>
                <w:szCs w:val="18"/>
                <w:bdr w:val="none" w:color="auto" w:sz="0" w:space="0"/>
              </w:rPr>
              <w:t>中国语言文学类；汉语国际教育、学科教学（语文）专业</w:t>
            </w:r>
          </w:p>
        </w:tc>
        <w:tc>
          <w:tcPr>
            <w:tcW w:w="1320"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sz w:val="21"/>
                <w:szCs w:val="21"/>
              </w:rPr>
            </w:pPr>
            <w:r>
              <w:rPr>
                <w:rFonts w:hint="eastAsia" w:ascii="宋体" w:hAnsi="宋体" w:eastAsia="宋体" w:cs="宋体"/>
                <w:sz w:val="18"/>
                <w:szCs w:val="18"/>
                <w:bdr w:val="none" w:color="auto" w:sz="0" w:space="0"/>
              </w:rPr>
              <w:t>硕士研究生或“双一流”本科</w:t>
            </w:r>
          </w:p>
        </w:tc>
      </w:tr>
      <w:tr>
        <w:tblPrEx>
          <w:tblCellMar>
            <w:top w:w="0" w:type="dxa"/>
            <w:left w:w="0" w:type="dxa"/>
            <w:bottom w:w="0" w:type="dxa"/>
            <w:right w:w="0" w:type="dxa"/>
          </w:tblCellMar>
        </w:tblPrEx>
        <w:trPr>
          <w:trHeight w:val="360" w:hRule="atLeast"/>
          <w:jc w:val="center"/>
        </w:trPr>
        <w:tc>
          <w:tcPr>
            <w:tcW w:w="465" w:type="dxa"/>
            <w:vMerge w:val="continue"/>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570"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1500" w:type="dxa"/>
            <w:vMerge w:val="continue"/>
            <w:tcBorders>
              <w:top w:val="nil"/>
              <w:left w:val="nil"/>
              <w:bottom w:val="single" w:color="auto" w:sz="6" w:space="0"/>
              <w:right w:val="single" w:color="000000" w:sz="6" w:space="0"/>
            </w:tcBorders>
            <w:shd w:val="clear"/>
            <w:tcMar>
              <w:top w:w="15" w:type="dxa"/>
              <w:left w:w="15" w:type="dxa"/>
              <w:right w:w="15" w:type="dxa"/>
            </w:tcMar>
            <w:vAlign w:val="center"/>
          </w:tcPr>
          <w:p>
            <w:pPr>
              <w:rPr>
                <w:rFonts w:hint="eastAsia" w:ascii="宋体"/>
                <w:sz w:val="24"/>
                <w:szCs w:val="24"/>
              </w:rPr>
            </w:pPr>
          </w:p>
        </w:tc>
        <w:tc>
          <w:tcPr>
            <w:tcW w:w="495"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eastAsia" w:ascii="宋体" w:hAnsi="宋体" w:eastAsia="宋体" w:cs="宋体"/>
                <w:sz w:val="18"/>
                <w:szCs w:val="18"/>
                <w:bdr w:val="none" w:color="auto" w:sz="0" w:space="0"/>
              </w:rPr>
              <w:t>1</w:t>
            </w:r>
          </w:p>
        </w:tc>
        <w:tc>
          <w:tcPr>
            <w:tcW w:w="930"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8"/>
                <w:szCs w:val="18"/>
                <w:bdr w:val="none" w:color="auto" w:sz="0" w:space="0"/>
              </w:rPr>
              <w:t>英语</w:t>
            </w:r>
          </w:p>
        </w:tc>
        <w:tc>
          <w:tcPr>
            <w:tcW w:w="5460" w:type="dxa"/>
            <w:tcBorders>
              <w:top w:val="nil"/>
              <w:left w:val="nil"/>
              <w:bottom w:val="single" w:color="000000"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sz w:val="21"/>
                <w:szCs w:val="21"/>
              </w:rPr>
            </w:pPr>
            <w:r>
              <w:rPr>
                <w:rFonts w:hint="eastAsia" w:ascii="宋体" w:hAnsi="宋体" w:eastAsia="宋体" w:cs="宋体"/>
                <w:sz w:val="18"/>
                <w:szCs w:val="18"/>
                <w:bdr w:val="none" w:color="auto" w:sz="0" w:space="0"/>
              </w:rPr>
              <w:t>英语、商务英语、翻译（英语）、学科教学（英语）专业</w:t>
            </w:r>
          </w:p>
        </w:tc>
        <w:tc>
          <w:tcPr>
            <w:tcW w:w="1320"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sz w:val="21"/>
                <w:szCs w:val="21"/>
              </w:rPr>
            </w:pPr>
            <w:r>
              <w:rPr>
                <w:rFonts w:hint="eastAsia" w:ascii="宋体" w:hAnsi="宋体" w:eastAsia="宋体" w:cs="宋体"/>
                <w:sz w:val="18"/>
                <w:szCs w:val="18"/>
                <w:bdr w:val="none" w:color="auto" w:sz="0" w:space="0"/>
              </w:rPr>
              <w:t>/</w:t>
            </w:r>
          </w:p>
        </w:tc>
      </w:tr>
      <w:tr>
        <w:tblPrEx>
          <w:tblCellMar>
            <w:top w:w="0" w:type="dxa"/>
            <w:left w:w="0" w:type="dxa"/>
            <w:bottom w:w="0" w:type="dxa"/>
            <w:right w:w="0" w:type="dxa"/>
          </w:tblCellMar>
        </w:tblPrEx>
        <w:trPr>
          <w:trHeight w:val="360" w:hRule="atLeast"/>
          <w:jc w:val="center"/>
        </w:trPr>
        <w:tc>
          <w:tcPr>
            <w:tcW w:w="465" w:type="dxa"/>
            <w:vMerge w:val="continue"/>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570"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1500" w:type="dxa"/>
            <w:vMerge w:val="continue"/>
            <w:tcBorders>
              <w:top w:val="nil"/>
              <w:left w:val="nil"/>
              <w:bottom w:val="single" w:color="auto" w:sz="6" w:space="0"/>
              <w:right w:val="single" w:color="000000" w:sz="6" w:space="0"/>
            </w:tcBorders>
            <w:shd w:val="clear"/>
            <w:tcMar>
              <w:top w:w="15" w:type="dxa"/>
              <w:left w:w="15" w:type="dxa"/>
              <w:right w:w="15" w:type="dxa"/>
            </w:tcMar>
            <w:vAlign w:val="center"/>
          </w:tcPr>
          <w:p>
            <w:pPr>
              <w:rPr>
                <w:rFonts w:hint="eastAsia" w:ascii="宋体"/>
                <w:sz w:val="24"/>
                <w:szCs w:val="24"/>
              </w:rPr>
            </w:pPr>
          </w:p>
        </w:tc>
        <w:tc>
          <w:tcPr>
            <w:tcW w:w="495"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eastAsia" w:ascii="宋体" w:hAnsi="宋体" w:eastAsia="宋体" w:cs="宋体"/>
                <w:sz w:val="18"/>
                <w:szCs w:val="18"/>
                <w:bdr w:val="none" w:color="auto" w:sz="0" w:space="0"/>
              </w:rPr>
              <w:t>1</w:t>
            </w:r>
          </w:p>
        </w:tc>
        <w:tc>
          <w:tcPr>
            <w:tcW w:w="930"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8"/>
                <w:szCs w:val="18"/>
                <w:bdr w:val="none" w:color="auto" w:sz="0" w:space="0"/>
              </w:rPr>
              <w:t>地理</w:t>
            </w:r>
          </w:p>
        </w:tc>
        <w:tc>
          <w:tcPr>
            <w:tcW w:w="5460" w:type="dxa"/>
            <w:tcBorders>
              <w:top w:val="nil"/>
              <w:left w:val="nil"/>
              <w:bottom w:val="single" w:color="000000"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rFonts w:hint="eastAsia" w:ascii="宋体" w:hAnsi="宋体" w:eastAsia="宋体" w:cs="宋体"/>
                <w:sz w:val="18"/>
                <w:szCs w:val="18"/>
                <w:bdr w:val="none" w:color="auto" w:sz="0" w:space="0"/>
              </w:rPr>
              <w:t>地理学类；学科教学（地理）专业</w:t>
            </w:r>
          </w:p>
        </w:tc>
        <w:tc>
          <w:tcPr>
            <w:tcW w:w="1320"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sz w:val="21"/>
                <w:szCs w:val="21"/>
              </w:rPr>
            </w:pPr>
            <w:r>
              <w:rPr>
                <w:rFonts w:hint="eastAsia" w:ascii="宋体" w:hAnsi="宋体" w:eastAsia="宋体" w:cs="宋体"/>
                <w:sz w:val="18"/>
                <w:szCs w:val="18"/>
                <w:bdr w:val="none" w:color="auto" w:sz="0" w:space="0"/>
              </w:rPr>
              <w:t>/</w:t>
            </w:r>
          </w:p>
        </w:tc>
      </w:tr>
      <w:tr>
        <w:tblPrEx>
          <w:tblCellMar>
            <w:top w:w="0" w:type="dxa"/>
            <w:left w:w="0" w:type="dxa"/>
            <w:bottom w:w="0" w:type="dxa"/>
            <w:right w:w="0" w:type="dxa"/>
          </w:tblCellMar>
        </w:tblPrEx>
        <w:trPr>
          <w:trHeight w:val="360" w:hRule="atLeast"/>
          <w:jc w:val="center"/>
        </w:trPr>
        <w:tc>
          <w:tcPr>
            <w:tcW w:w="465" w:type="dxa"/>
            <w:vMerge w:val="continue"/>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570"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1500" w:type="dxa"/>
            <w:vMerge w:val="continue"/>
            <w:tcBorders>
              <w:top w:val="nil"/>
              <w:left w:val="nil"/>
              <w:bottom w:val="single" w:color="auto" w:sz="6" w:space="0"/>
              <w:right w:val="single" w:color="000000" w:sz="6" w:space="0"/>
            </w:tcBorders>
            <w:shd w:val="clear"/>
            <w:tcMar>
              <w:top w:w="15" w:type="dxa"/>
              <w:left w:w="15" w:type="dxa"/>
              <w:right w:w="15" w:type="dxa"/>
            </w:tcMar>
            <w:vAlign w:val="center"/>
          </w:tcPr>
          <w:p>
            <w:pPr>
              <w:rPr>
                <w:rFonts w:hint="eastAsia" w:ascii="宋体"/>
                <w:sz w:val="24"/>
                <w:szCs w:val="24"/>
              </w:rPr>
            </w:pPr>
          </w:p>
        </w:tc>
        <w:tc>
          <w:tcPr>
            <w:tcW w:w="495"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eastAsia" w:ascii="宋体" w:hAnsi="宋体" w:eastAsia="宋体" w:cs="宋体"/>
                <w:sz w:val="18"/>
                <w:szCs w:val="18"/>
                <w:bdr w:val="none" w:color="auto" w:sz="0" w:space="0"/>
              </w:rPr>
              <w:t>1</w:t>
            </w:r>
          </w:p>
        </w:tc>
        <w:tc>
          <w:tcPr>
            <w:tcW w:w="930"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8"/>
                <w:szCs w:val="18"/>
                <w:bdr w:val="none" w:color="auto" w:sz="0" w:space="0"/>
              </w:rPr>
              <w:t>历史</w:t>
            </w:r>
          </w:p>
        </w:tc>
        <w:tc>
          <w:tcPr>
            <w:tcW w:w="5460" w:type="dxa"/>
            <w:tcBorders>
              <w:top w:val="nil"/>
              <w:left w:val="nil"/>
              <w:bottom w:val="single" w:color="000000"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rFonts w:hint="eastAsia" w:ascii="宋体" w:hAnsi="宋体" w:eastAsia="宋体" w:cs="宋体"/>
                <w:sz w:val="18"/>
                <w:szCs w:val="18"/>
                <w:bdr w:val="none" w:color="auto" w:sz="0" w:space="0"/>
              </w:rPr>
              <w:t>历史学类；学科教学（历史）专业</w:t>
            </w:r>
          </w:p>
        </w:tc>
        <w:tc>
          <w:tcPr>
            <w:tcW w:w="1320"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sz w:val="21"/>
                <w:szCs w:val="21"/>
              </w:rPr>
            </w:pPr>
            <w:r>
              <w:rPr>
                <w:rFonts w:hint="eastAsia" w:ascii="宋体" w:hAnsi="宋体" w:eastAsia="宋体" w:cs="宋体"/>
                <w:sz w:val="18"/>
                <w:szCs w:val="18"/>
                <w:bdr w:val="none" w:color="auto" w:sz="0" w:space="0"/>
              </w:rPr>
              <w:t>/</w:t>
            </w:r>
          </w:p>
        </w:tc>
      </w:tr>
      <w:tr>
        <w:tblPrEx>
          <w:tblCellMar>
            <w:top w:w="0" w:type="dxa"/>
            <w:left w:w="0" w:type="dxa"/>
            <w:bottom w:w="0" w:type="dxa"/>
            <w:right w:w="0" w:type="dxa"/>
          </w:tblCellMar>
        </w:tblPrEx>
        <w:trPr>
          <w:trHeight w:val="301" w:hRule="atLeast"/>
          <w:jc w:val="center"/>
        </w:trPr>
        <w:tc>
          <w:tcPr>
            <w:tcW w:w="465" w:type="dxa"/>
            <w:vMerge w:val="continue"/>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570"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1500" w:type="dxa"/>
            <w:vMerge w:val="restart"/>
            <w:tcBorders>
              <w:top w:val="nil"/>
              <w:left w:val="nil"/>
              <w:bottom w:val="single" w:color="auto"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sz w:val="21"/>
                <w:szCs w:val="21"/>
              </w:rPr>
            </w:pPr>
            <w:r>
              <w:rPr>
                <w:rFonts w:hint="eastAsia" w:ascii="宋体" w:hAnsi="宋体" w:eastAsia="宋体" w:cs="宋体"/>
                <w:sz w:val="18"/>
                <w:szCs w:val="18"/>
                <w:bdr w:val="none" w:color="auto" w:sz="0" w:space="0"/>
              </w:rPr>
              <w:t>平湖市当湖高级中学</w:t>
            </w:r>
          </w:p>
        </w:tc>
        <w:tc>
          <w:tcPr>
            <w:tcW w:w="495"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eastAsia" w:ascii="宋体" w:hAnsi="宋体" w:eastAsia="宋体" w:cs="宋体"/>
                <w:sz w:val="18"/>
                <w:szCs w:val="18"/>
                <w:bdr w:val="none" w:color="auto" w:sz="0" w:space="0"/>
              </w:rPr>
              <w:t>1</w:t>
            </w:r>
          </w:p>
        </w:tc>
        <w:tc>
          <w:tcPr>
            <w:tcW w:w="930"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8"/>
                <w:szCs w:val="18"/>
                <w:bdr w:val="none" w:color="auto" w:sz="0" w:space="0"/>
              </w:rPr>
              <w:t>语文</w:t>
            </w:r>
          </w:p>
        </w:tc>
        <w:tc>
          <w:tcPr>
            <w:tcW w:w="5460" w:type="dxa"/>
            <w:tcBorders>
              <w:top w:val="nil"/>
              <w:left w:val="nil"/>
              <w:bottom w:val="single" w:color="000000"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sz w:val="21"/>
                <w:szCs w:val="21"/>
              </w:rPr>
            </w:pPr>
            <w:r>
              <w:rPr>
                <w:rFonts w:hint="eastAsia" w:ascii="宋体" w:hAnsi="宋体" w:eastAsia="宋体" w:cs="宋体"/>
                <w:sz w:val="18"/>
                <w:szCs w:val="18"/>
                <w:bdr w:val="none" w:color="auto" w:sz="0" w:space="0"/>
              </w:rPr>
              <w:t>中国语言文学类；汉语国际教育、学科教学（语文）专业</w:t>
            </w:r>
          </w:p>
        </w:tc>
        <w:tc>
          <w:tcPr>
            <w:tcW w:w="1320"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sz w:val="21"/>
                <w:szCs w:val="21"/>
              </w:rPr>
            </w:pPr>
            <w:r>
              <w:rPr>
                <w:rFonts w:hint="eastAsia" w:ascii="宋体" w:hAnsi="宋体" w:eastAsia="宋体" w:cs="宋体"/>
                <w:sz w:val="18"/>
                <w:szCs w:val="18"/>
                <w:bdr w:val="none" w:color="auto" w:sz="0" w:space="0"/>
              </w:rPr>
              <w:t>硕士研究生或“双一流”本科</w:t>
            </w:r>
          </w:p>
        </w:tc>
      </w:tr>
      <w:tr>
        <w:tblPrEx>
          <w:tblCellMar>
            <w:top w:w="0" w:type="dxa"/>
            <w:left w:w="0" w:type="dxa"/>
            <w:bottom w:w="0" w:type="dxa"/>
            <w:right w:w="0" w:type="dxa"/>
          </w:tblCellMar>
        </w:tblPrEx>
        <w:trPr>
          <w:trHeight w:val="301" w:hRule="atLeast"/>
          <w:jc w:val="center"/>
        </w:trPr>
        <w:tc>
          <w:tcPr>
            <w:tcW w:w="465" w:type="dxa"/>
            <w:vMerge w:val="continue"/>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570"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1500" w:type="dxa"/>
            <w:vMerge w:val="continue"/>
            <w:tcBorders>
              <w:top w:val="nil"/>
              <w:left w:val="nil"/>
              <w:bottom w:val="single" w:color="auto" w:sz="6" w:space="0"/>
              <w:right w:val="single" w:color="000000" w:sz="6" w:space="0"/>
            </w:tcBorders>
            <w:shd w:val="clear"/>
            <w:tcMar>
              <w:top w:w="15" w:type="dxa"/>
              <w:left w:w="15" w:type="dxa"/>
              <w:right w:w="15" w:type="dxa"/>
            </w:tcMar>
            <w:vAlign w:val="center"/>
          </w:tcPr>
          <w:p>
            <w:pPr>
              <w:rPr>
                <w:rFonts w:hint="eastAsia" w:ascii="宋体"/>
                <w:sz w:val="24"/>
                <w:szCs w:val="24"/>
              </w:rPr>
            </w:pPr>
          </w:p>
        </w:tc>
        <w:tc>
          <w:tcPr>
            <w:tcW w:w="495"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eastAsia" w:ascii="宋体" w:hAnsi="宋体" w:eastAsia="宋体" w:cs="宋体"/>
                <w:sz w:val="18"/>
                <w:szCs w:val="18"/>
                <w:bdr w:val="none" w:color="auto" w:sz="0" w:space="0"/>
              </w:rPr>
              <w:t>1</w:t>
            </w:r>
          </w:p>
        </w:tc>
        <w:tc>
          <w:tcPr>
            <w:tcW w:w="930"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eastAsia" w:ascii="宋体" w:hAnsi="宋体" w:eastAsia="宋体" w:cs="宋体"/>
                <w:sz w:val="18"/>
                <w:szCs w:val="18"/>
                <w:bdr w:val="none" w:color="auto" w:sz="0" w:space="0"/>
              </w:rPr>
              <w:t>政治</w:t>
            </w:r>
          </w:p>
        </w:tc>
        <w:tc>
          <w:tcPr>
            <w:tcW w:w="5460" w:type="dxa"/>
            <w:tcBorders>
              <w:top w:val="nil"/>
              <w:left w:val="nil"/>
              <w:bottom w:val="single" w:color="000000"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sz w:val="21"/>
                <w:szCs w:val="21"/>
              </w:rPr>
            </w:pPr>
            <w:r>
              <w:rPr>
                <w:rFonts w:hint="eastAsia" w:ascii="宋体" w:hAnsi="宋体" w:eastAsia="宋体" w:cs="宋体"/>
                <w:sz w:val="18"/>
                <w:szCs w:val="18"/>
                <w:bdr w:val="none" w:color="auto" w:sz="0" w:space="0"/>
              </w:rPr>
              <w:t>马克思主义理论类、哲学类、法学类、政治学类；学科教学（思政）专业</w:t>
            </w:r>
          </w:p>
        </w:tc>
        <w:tc>
          <w:tcPr>
            <w:tcW w:w="1320"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sz w:val="21"/>
                <w:szCs w:val="21"/>
              </w:rPr>
            </w:pPr>
            <w:r>
              <w:rPr>
                <w:rFonts w:hint="eastAsia" w:ascii="宋体" w:hAnsi="宋体" w:eastAsia="宋体" w:cs="宋体"/>
                <w:sz w:val="18"/>
                <w:szCs w:val="18"/>
                <w:bdr w:val="none" w:color="auto" w:sz="0" w:space="0"/>
              </w:rPr>
              <w:t>硕士研究生或“双一流”本科</w:t>
            </w:r>
          </w:p>
        </w:tc>
      </w:tr>
      <w:tr>
        <w:tblPrEx>
          <w:tblCellMar>
            <w:top w:w="0" w:type="dxa"/>
            <w:left w:w="0" w:type="dxa"/>
            <w:bottom w:w="0" w:type="dxa"/>
            <w:right w:w="0" w:type="dxa"/>
          </w:tblCellMar>
        </w:tblPrEx>
        <w:trPr>
          <w:trHeight w:val="301" w:hRule="atLeast"/>
          <w:jc w:val="center"/>
        </w:trPr>
        <w:tc>
          <w:tcPr>
            <w:tcW w:w="465" w:type="dxa"/>
            <w:vMerge w:val="continue"/>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570"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1500" w:type="dxa"/>
            <w:tcBorders>
              <w:top w:val="nil"/>
              <w:left w:val="nil"/>
              <w:bottom w:val="single" w:color="auto"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sz w:val="18"/>
                <w:szCs w:val="18"/>
                <w:bdr w:val="none" w:color="auto" w:sz="0" w:space="0"/>
              </w:rPr>
              <w:t>平湖市新华爱心高级中学</w:t>
            </w:r>
          </w:p>
        </w:tc>
        <w:tc>
          <w:tcPr>
            <w:tcW w:w="495"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eastAsia" w:ascii="宋体" w:hAnsi="宋体" w:eastAsia="宋体" w:cs="宋体"/>
                <w:sz w:val="18"/>
                <w:szCs w:val="18"/>
                <w:bdr w:val="none" w:color="auto" w:sz="0" w:space="0"/>
              </w:rPr>
              <w:t>1</w:t>
            </w:r>
          </w:p>
        </w:tc>
        <w:tc>
          <w:tcPr>
            <w:tcW w:w="930"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8"/>
                <w:szCs w:val="18"/>
                <w:bdr w:val="none" w:color="auto" w:sz="0" w:space="0"/>
              </w:rPr>
              <w:t>英语</w:t>
            </w:r>
          </w:p>
        </w:tc>
        <w:tc>
          <w:tcPr>
            <w:tcW w:w="5460" w:type="dxa"/>
            <w:tcBorders>
              <w:top w:val="nil"/>
              <w:left w:val="nil"/>
              <w:bottom w:val="single" w:color="000000"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rFonts w:hint="eastAsia" w:ascii="宋体" w:hAnsi="宋体" w:eastAsia="宋体" w:cs="宋体"/>
                <w:sz w:val="18"/>
                <w:szCs w:val="18"/>
                <w:bdr w:val="none" w:color="auto" w:sz="0" w:space="0"/>
              </w:rPr>
              <w:t>英语、商务英语、翻译（英语）、学科教学（英语）专业</w:t>
            </w:r>
          </w:p>
        </w:tc>
        <w:tc>
          <w:tcPr>
            <w:tcW w:w="1320"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sz w:val="21"/>
                <w:szCs w:val="21"/>
              </w:rPr>
            </w:pPr>
            <w:r>
              <w:rPr>
                <w:rFonts w:hint="eastAsia" w:ascii="宋体" w:hAnsi="宋体" w:eastAsia="宋体" w:cs="宋体"/>
                <w:sz w:val="18"/>
                <w:szCs w:val="18"/>
                <w:bdr w:val="none" w:color="auto" w:sz="0" w:space="0"/>
              </w:rPr>
              <w:t>/</w:t>
            </w:r>
          </w:p>
        </w:tc>
      </w:tr>
      <w:tr>
        <w:tblPrEx>
          <w:tblCellMar>
            <w:top w:w="0" w:type="dxa"/>
            <w:left w:w="0" w:type="dxa"/>
            <w:bottom w:w="0" w:type="dxa"/>
            <w:right w:w="0" w:type="dxa"/>
          </w:tblCellMar>
        </w:tblPrEx>
        <w:trPr>
          <w:trHeight w:val="360" w:hRule="atLeast"/>
          <w:jc w:val="center"/>
        </w:trPr>
        <w:tc>
          <w:tcPr>
            <w:tcW w:w="465" w:type="dxa"/>
            <w:vMerge w:val="continue"/>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570"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1500" w:type="dxa"/>
            <w:vMerge w:val="restart"/>
            <w:tcBorders>
              <w:top w:val="nil"/>
              <w:left w:val="nil"/>
              <w:bottom w:val="nil"/>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sz w:val="18"/>
                <w:szCs w:val="18"/>
                <w:bdr w:val="none" w:color="auto" w:sz="0" w:space="0"/>
              </w:rPr>
              <w:t>平湖市乍浦高级中学</w:t>
            </w:r>
          </w:p>
        </w:tc>
        <w:tc>
          <w:tcPr>
            <w:tcW w:w="495"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8"/>
                <w:szCs w:val="18"/>
                <w:bdr w:val="none" w:color="auto" w:sz="0" w:space="0"/>
              </w:rPr>
              <w:t>1</w:t>
            </w:r>
          </w:p>
        </w:tc>
        <w:tc>
          <w:tcPr>
            <w:tcW w:w="930"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8"/>
                <w:szCs w:val="18"/>
                <w:bdr w:val="none" w:color="auto" w:sz="0" w:space="0"/>
              </w:rPr>
              <w:t>语文</w:t>
            </w:r>
          </w:p>
        </w:tc>
        <w:tc>
          <w:tcPr>
            <w:tcW w:w="5460" w:type="dxa"/>
            <w:tcBorders>
              <w:top w:val="nil"/>
              <w:left w:val="nil"/>
              <w:bottom w:val="single" w:color="000000"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sz w:val="21"/>
                <w:szCs w:val="21"/>
              </w:rPr>
            </w:pPr>
            <w:r>
              <w:rPr>
                <w:rFonts w:hint="eastAsia" w:ascii="宋体" w:hAnsi="宋体" w:eastAsia="宋体" w:cs="宋体"/>
                <w:sz w:val="18"/>
                <w:szCs w:val="18"/>
                <w:bdr w:val="none" w:color="auto" w:sz="0" w:space="0"/>
              </w:rPr>
              <w:t>中国语言文学类；汉语国际教育、学科教学（语文）专业</w:t>
            </w:r>
          </w:p>
        </w:tc>
        <w:tc>
          <w:tcPr>
            <w:tcW w:w="1320"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sz w:val="21"/>
                <w:szCs w:val="21"/>
              </w:rPr>
            </w:pPr>
            <w:r>
              <w:rPr>
                <w:rFonts w:hint="eastAsia" w:ascii="宋体" w:hAnsi="宋体" w:eastAsia="宋体" w:cs="宋体"/>
                <w:sz w:val="18"/>
                <w:szCs w:val="18"/>
                <w:bdr w:val="none" w:color="auto" w:sz="0" w:space="0"/>
              </w:rPr>
              <w:t>/</w:t>
            </w:r>
          </w:p>
        </w:tc>
      </w:tr>
      <w:tr>
        <w:tblPrEx>
          <w:tblCellMar>
            <w:top w:w="0" w:type="dxa"/>
            <w:left w:w="0" w:type="dxa"/>
            <w:bottom w:w="0" w:type="dxa"/>
            <w:right w:w="0" w:type="dxa"/>
          </w:tblCellMar>
        </w:tblPrEx>
        <w:trPr>
          <w:trHeight w:val="360" w:hRule="atLeast"/>
          <w:jc w:val="center"/>
        </w:trPr>
        <w:tc>
          <w:tcPr>
            <w:tcW w:w="465" w:type="dxa"/>
            <w:vMerge w:val="continue"/>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570"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1500" w:type="dxa"/>
            <w:vMerge w:val="continue"/>
            <w:tcBorders>
              <w:top w:val="nil"/>
              <w:left w:val="nil"/>
              <w:bottom w:val="nil"/>
              <w:right w:val="single" w:color="000000" w:sz="6" w:space="0"/>
            </w:tcBorders>
            <w:shd w:val="clear"/>
            <w:tcMar>
              <w:top w:w="15" w:type="dxa"/>
              <w:left w:w="15" w:type="dxa"/>
              <w:right w:w="15" w:type="dxa"/>
            </w:tcMar>
            <w:vAlign w:val="center"/>
          </w:tcPr>
          <w:p>
            <w:pPr>
              <w:rPr>
                <w:rFonts w:hint="eastAsia" w:ascii="宋体"/>
                <w:sz w:val="24"/>
                <w:szCs w:val="24"/>
              </w:rPr>
            </w:pPr>
          </w:p>
        </w:tc>
        <w:tc>
          <w:tcPr>
            <w:tcW w:w="495"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8"/>
                <w:szCs w:val="18"/>
                <w:bdr w:val="none" w:color="auto" w:sz="0" w:space="0"/>
              </w:rPr>
              <w:t>1</w:t>
            </w:r>
          </w:p>
        </w:tc>
        <w:tc>
          <w:tcPr>
            <w:tcW w:w="930"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sz w:val="18"/>
                <w:szCs w:val="18"/>
                <w:bdr w:val="none" w:color="auto" w:sz="0" w:space="0"/>
              </w:rPr>
              <w:t>计算机信息技术</w:t>
            </w:r>
          </w:p>
        </w:tc>
        <w:tc>
          <w:tcPr>
            <w:tcW w:w="5460" w:type="dxa"/>
            <w:tcBorders>
              <w:top w:val="nil"/>
              <w:left w:val="nil"/>
              <w:bottom w:val="single" w:color="000000"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sz w:val="21"/>
                <w:szCs w:val="21"/>
              </w:rPr>
            </w:pPr>
            <w:r>
              <w:rPr>
                <w:rFonts w:hint="eastAsia" w:ascii="宋体" w:hAnsi="宋体" w:eastAsia="宋体" w:cs="宋体"/>
                <w:sz w:val="18"/>
                <w:szCs w:val="18"/>
                <w:bdr w:val="none" w:color="auto" w:sz="0" w:space="0"/>
              </w:rPr>
              <w:t>计算机类；教育技术学专业</w:t>
            </w:r>
          </w:p>
        </w:tc>
        <w:tc>
          <w:tcPr>
            <w:tcW w:w="1320"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sz w:val="18"/>
                <w:szCs w:val="18"/>
                <w:bdr w:val="none" w:color="auto" w:sz="0" w:space="0"/>
              </w:rPr>
              <w:t>/</w:t>
            </w:r>
          </w:p>
        </w:tc>
      </w:tr>
      <w:tr>
        <w:tblPrEx>
          <w:tblCellMar>
            <w:top w:w="0" w:type="dxa"/>
            <w:left w:w="0" w:type="dxa"/>
            <w:bottom w:w="0" w:type="dxa"/>
            <w:right w:w="0" w:type="dxa"/>
          </w:tblCellMar>
        </w:tblPrEx>
        <w:trPr>
          <w:trHeight w:val="360" w:hRule="atLeast"/>
          <w:jc w:val="center"/>
        </w:trPr>
        <w:tc>
          <w:tcPr>
            <w:tcW w:w="465" w:type="dxa"/>
            <w:vMerge w:val="continue"/>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570"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1500" w:type="dxa"/>
            <w:vMerge w:val="restart"/>
            <w:tcBorders>
              <w:top w:val="single" w:color="auto" w:sz="6" w:space="0"/>
              <w:left w:val="nil"/>
              <w:bottom w:val="single" w:color="auto"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sz w:val="18"/>
                <w:szCs w:val="18"/>
                <w:bdr w:val="none" w:color="auto" w:sz="0" w:space="0"/>
              </w:rPr>
              <w:t>平湖市职业中等专业学校</w:t>
            </w:r>
          </w:p>
        </w:tc>
        <w:tc>
          <w:tcPr>
            <w:tcW w:w="495"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8"/>
                <w:szCs w:val="18"/>
                <w:bdr w:val="none" w:color="auto" w:sz="0" w:space="0"/>
              </w:rPr>
              <w:t>1</w:t>
            </w:r>
          </w:p>
        </w:tc>
        <w:tc>
          <w:tcPr>
            <w:tcW w:w="930"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8"/>
                <w:szCs w:val="18"/>
                <w:bdr w:val="none" w:color="auto" w:sz="0" w:space="0"/>
              </w:rPr>
              <w:t>语文</w:t>
            </w:r>
          </w:p>
        </w:tc>
        <w:tc>
          <w:tcPr>
            <w:tcW w:w="5460" w:type="dxa"/>
            <w:tcBorders>
              <w:top w:val="nil"/>
              <w:left w:val="nil"/>
              <w:bottom w:val="single" w:color="000000"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rPr>
                <w:sz w:val="21"/>
                <w:szCs w:val="21"/>
              </w:rPr>
            </w:pPr>
            <w:r>
              <w:rPr>
                <w:rFonts w:hint="eastAsia" w:ascii="宋体" w:hAnsi="宋体" w:eastAsia="宋体" w:cs="宋体"/>
                <w:sz w:val="18"/>
                <w:szCs w:val="18"/>
                <w:bdr w:val="none" w:color="auto" w:sz="0" w:space="0"/>
              </w:rPr>
              <w:t>中国语言文学类；汉语国际教育、学科教学（语文）专业</w:t>
            </w:r>
          </w:p>
        </w:tc>
        <w:tc>
          <w:tcPr>
            <w:tcW w:w="1320"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sz w:val="21"/>
                <w:szCs w:val="21"/>
              </w:rPr>
            </w:pPr>
            <w:r>
              <w:rPr>
                <w:rFonts w:hint="eastAsia" w:ascii="宋体" w:hAnsi="宋体" w:eastAsia="宋体" w:cs="宋体"/>
                <w:sz w:val="18"/>
                <w:szCs w:val="18"/>
                <w:bdr w:val="none" w:color="auto" w:sz="0" w:space="0"/>
              </w:rPr>
              <w:t>硕士研究生或“双一流”本科</w:t>
            </w:r>
          </w:p>
        </w:tc>
      </w:tr>
      <w:tr>
        <w:tblPrEx>
          <w:tblCellMar>
            <w:top w:w="0" w:type="dxa"/>
            <w:left w:w="0" w:type="dxa"/>
            <w:bottom w:w="0" w:type="dxa"/>
            <w:right w:w="0" w:type="dxa"/>
          </w:tblCellMar>
        </w:tblPrEx>
        <w:trPr>
          <w:trHeight w:val="316" w:hRule="atLeast"/>
          <w:jc w:val="center"/>
        </w:trPr>
        <w:tc>
          <w:tcPr>
            <w:tcW w:w="465" w:type="dxa"/>
            <w:vMerge w:val="continue"/>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570"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1500" w:type="dxa"/>
            <w:vMerge w:val="continue"/>
            <w:tcBorders>
              <w:top w:val="single" w:color="auto" w:sz="6" w:space="0"/>
              <w:left w:val="nil"/>
              <w:bottom w:val="single" w:color="auto" w:sz="6" w:space="0"/>
              <w:right w:val="single" w:color="000000" w:sz="6" w:space="0"/>
            </w:tcBorders>
            <w:shd w:val="clear"/>
            <w:tcMar>
              <w:top w:w="15" w:type="dxa"/>
              <w:left w:w="15" w:type="dxa"/>
              <w:right w:w="15" w:type="dxa"/>
            </w:tcMar>
            <w:vAlign w:val="center"/>
          </w:tcPr>
          <w:p>
            <w:pPr>
              <w:rPr>
                <w:rFonts w:hint="eastAsia" w:ascii="宋体"/>
                <w:sz w:val="24"/>
                <w:szCs w:val="24"/>
              </w:rPr>
            </w:pPr>
          </w:p>
        </w:tc>
        <w:tc>
          <w:tcPr>
            <w:tcW w:w="495"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eastAsia" w:ascii="宋体" w:hAnsi="宋体" w:eastAsia="宋体" w:cs="宋体"/>
                <w:sz w:val="18"/>
                <w:szCs w:val="18"/>
                <w:bdr w:val="none" w:color="auto" w:sz="0" w:space="0"/>
              </w:rPr>
              <w:t>1</w:t>
            </w:r>
          </w:p>
        </w:tc>
        <w:tc>
          <w:tcPr>
            <w:tcW w:w="930"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8"/>
                <w:szCs w:val="18"/>
                <w:bdr w:val="none" w:color="auto" w:sz="0" w:space="0"/>
              </w:rPr>
              <w:t>日语</w:t>
            </w:r>
          </w:p>
        </w:tc>
        <w:tc>
          <w:tcPr>
            <w:tcW w:w="5460" w:type="dxa"/>
            <w:tcBorders>
              <w:top w:val="nil"/>
              <w:left w:val="nil"/>
              <w:bottom w:val="single" w:color="000000"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sz w:val="21"/>
                <w:szCs w:val="21"/>
              </w:rPr>
            </w:pPr>
            <w:r>
              <w:rPr>
                <w:rFonts w:hint="eastAsia" w:ascii="宋体" w:hAnsi="宋体" w:eastAsia="宋体" w:cs="宋体"/>
                <w:sz w:val="18"/>
                <w:szCs w:val="18"/>
                <w:bdr w:val="none" w:color="auto" w:sz="0" w:space="0"/>
              </w:rPr>
              <w:t>日语，翻译（日语）专业</w:t>
            </w:r>
          </w:p>
        </w:tc>
        <w:tc>
          <w:tcPr>
            <w:tcW w:w="1320"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sz w:val="21"/>
                <w:szCs w:val="21"/>
              </w:rPr>
            </w:pPr>
            <w:r>
              <w:rPr>
                <w:rFonts w:hint="eastAsia" w:ascii="宋体" w:hAnsi="宋体" w:eastAsia="宋体" w:cs="宋体"/>
                <w:sz w:val="18"/>
                <w:szCs w:val="18"/>
                <w:bdr w:val="none" w:color="auto" w:sz="0" w:space="0"/>
              </w:rPr>
              <w:t>硕士研究生或“双一流”本科</w:t>
            </w:r>
          </w:p>
        </w:tc>
      </w:tr>
      <w:tr>
        <w:tblPrEx>
          <w:tblCellMar>
            <w:top w:w="0" w:type="dxa"/>
            <w:left w:w="0" w:type="dxa"/>
            <w:bottom w:w="0" w:type="dxa"/>
            <w:right w:w="0" w:type="dxa"/>
          </w:tblCellMar>
        </w:tblPrEx>
        <w:trPr>
          <w:trHeight w:val="316" w:hRule="atLeast"/>
          <w:jc w:val="center"/>
        </w:trPr>
        <w:tc>
          <w:tcPr>
            <w:tcW w:w="465" w:type="dxa"/>
            <w:vMerge w:val="continue"/>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570"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1500" w:type="dxa"/>
            <w:tcBorders>
              <w:top w:val="nil"/>
              <w:left w:val="nil"/>
              <w:bottom w:val="single" w:color="auto"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8"/>
                <w:szCs w:val="18"/>
                <w:bdr w:val="none" w:color="auto" w:sz="0" w:space="0"/>
              </w:rPr>
              <w:t>平湖技师学院</w:t>
            </w:r>
          </w:p>
        </w:tc>
        <w:tc>
          <w:tcPr>
            <w:tcW w:w="495"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eastAsia" w:ascii="宋体" w:hAnsi="宋体" w:eastAsia="宋体" w:cs="宋体"/>
                <w:sz w:val="18"/>
                <w:szCs w:val="18"/>
                <w:bdr w:val="none" w:color="auto" w:sz="0" w:space="0"/>
              </w:rPr>
              <w:t>1</w:t>
            </w:r>
          </w:p>
        </w:tc>
        <w:tc>
          <w:tcPr>
            <w:tcW w:w="930"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8"/>
                <w:szCs w:val="18"/>
                <w:bdr w:val="none" w:color="auto" w:sz="0" w:space="0"/>
              </w:rPr>
              <w:t>数学</w:t>
            </w:r>
          </w:p>
        </w:tc>
        <w:tc>
          <w:tcPr>
            <w:tcW w:w="5460" w:type="dxa"/>
            <w:tcBorders>
              <w:top w:val="nil"/>
              <w:left w:val="nil"/>
              <w:bottom w:val="single" w:color="000000"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sz w:val="21"/>
                <w:szCs w:val="21"/>
              </w:rPr>
            </w:pPr>
            <w:r>
              <w:rPr>
                <w:rFonts w:hint="eastAsia" w:ascii="宋体" w:hAnsi="宋体" w:eastAsia="宋体" w:cs="宋体"/>
                <w:sz w:val="18"/>
                <w:szCs w:val="18"/>
                <w:bdr w:val="none" w:color="auto" w:sz="0" w:space="0"/>
              </w:rPr>
              <w:t>数学类；学科教学（数学）专业</w:t>
            </w:r>
          </w:p>
        </w:tc>
        <w:tc>
          <w:tcPr>
            <w:tcW w:w="1320"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sz w:val="18"/>
                <w:szCs w:val="18"/>
                <w:bdr w:val="none" w:color="auto" w:sz="0" w:space="0"/>
              </w:rPr>
              <w:t>硕士研究生或“双一流”本科</w:t>
            </w:r>
          </w:p>
        </w:tc>
      </w:tr>
      <w:tr>
        <w:tblPrEx>
          <w:tblCellMar>
            <w:top w:w="0" w:type="dxa"/>
            <w:left w:w="0" w:type="dxa"/>
            <w:bottom w:w="0" w:type="dxa"/>
            <w:right w:w="0" w:type="dxa"/>
          </w:tblCellMar>
        </w:tblPrEx>
        <w:trPr>
          <w:trHeight w:val="286" w:hRule="atLeast"/>
          <w:jc w:val="center"/>
        </w:trPr>
        <w:tc>
          <w:tcPr>
            <w:tcW w:w="465" w:type="dxa"/>
            <w:vMerge w:val="continue"/>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570" w:type="dxa"/>
            <w:vMerge w:val="restart"/>
            <w:tcBorders>
              <w:top w:val="nil"/>
              <w:left w:val="nil"/>
              <w:bottom w:val="nil"/>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eastAsia" w:ascii="宋体" w:hAnsi="宋体" w:eastAsia="宋体" w:cs="宋体"/>
                <w:sz w:val="18"/>
                <w:szCs w:val="18"/>
                <w:bdr w:val="none" w:color="auto" w:sz="0" w:space="0"/>
              </w:rPr>
              <w:t>义务教育学校</w:t>
            </w:r>
          </w:p>
        </w:tc>
        <w:tc>
          <w:tcPr>
            <w:tcW w:w="1500" w:type="dxa"/>
            <w:vMerge w:val="restart"/>
            <w:tcBorders>
              <w:top w:val="nil"/>
              <w:left w:val="nil"/>
              <w:bottom w:val="single" w:color="auto"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eastAsia" w:ascii="宋体" w:hAnsi="宋体" w:eastAsia="宋体" w:cs="宋体"/>
                <w:sz w:val="18"/>
                <w:szCs w:val="18"/>
                <w:bdr w:val="none" w:color="auto" w:sz="0" w:space="0"/>
              </w:rPr>
              <w:t>面向平湖初中统配</w:t>
            </w:r>
          </w:p>
        </w:tc>
        <w:tc>
          <w:tcPr>
            <w:tcW w:w="495"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8"/>
                <w:szCs w:val="18"/>
                <w:bdr w:val="none" w:color="auto" w:sz="0" w:space="0"/>
              </w:rPr>
              <w:t>1</w:t>
            </w:r>
          </w:p>
        </w:tc>
        <w:tc>
          <w:tcPr>
            <w:tcW w:w="930" w:type="dxa"/>
            <w:tcBorders>
              <w:top w:val="nil"/>
              <w:left w:val="nil"/>
              <w:bottom w:val="single" w:color="000000"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8"/>
                <w:szCs w:val="18"/>
                <w:bdr w:val="none" w:color="auto" w:sz="0" w:space="0"/>
              </w:rPr>
              <w:t>语文1</w:t>
            </w:r>
          </w:p>
        </w:tc>
        <w:tc>
          <w:tcPr>
            <w:tcW w:w="5460" w:type="dxa"/>
            <w:tcBorders>
              <w:top w:val="nil"/>
              <w:left w:val="nil"/>
              <w:bottom w:val="single" w:color="auto"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rPr>
                <w:sz w:val="21"/>
                <w:szCs w:val="21"/>
              </w:rPr>
            </w:pPr>
            <w:r>
              <w:rPr>
                <w:rFonts w:hint="eastAsia" w:ascii="宋体" w:hAnsi="宋体" w:eastAsia="宋体" w:cs="宋体"/>
                <w:sz w:val="18"/>
                <w:szCs w:val="18"/>
                <w:bdr w:val="none" w:color="auto" w:sz="0" w:space="0"/>
              </w:rPr>
              <w:t>中国语言文学类；汉语国际教育、学科教学（语文）专业</w:t>
            </w:r>
          </w:p>
        </w:tc>
        <w:tc>
          <w:tcPr>
            <w:tcW w:w="1320"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sz w:val="18"/>
                <w:szCs w:val="18"/>
                <w:bdr w:val="none" w:color="auto" w:sz="0" w:space="0"/>
              </w:rPr>
              <w:t>硕士研究生或“双一流”本科</w:t>
            </w:r>
          </w:p>
        </w:tc>
      </w:tr>
      <w:tr>
        <w:tblPrEx>
          <w:tblCellMar>
            <w:top w:w="0" w:type="dxa"/>
            <w:left w:w="0" w:type="dxa"/>
            <w:bottom w:w="0" w:type="dxa"/>
            <w:right w:w="0" w:type="dxa"/>
          </w:tblCellMar>
        </w:tblPrEx>
        <w:trPr>
          <w:trHeight w:val="286" w:hRule="atLeast"/>
          <w:jc w:val="center"/>
        </w:trPr>
        <w:tc>
          <w:tcPr>
            <w:tcW w:w="465" w:type="dxa"/>
            <w:vMerge w:val="continue"/>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570" w:type="dxa"/>
            <w:vMerge w:val="continue"/>
            <w:tcBorders>
              <w:top w:val="nil"/>
              <w:left w:val="nil"/>
              <w:bottom w:val="nil"/>
              <w:right w:val="single" w:color="auto" w:sz="6" w:space="0"/>
            </w:tcBorders>
            <w:shd w:val="clear"/>
            <w:tcMar>
              <w:top w:w="15" w:type="dxa"/>
              <w:left w:w="15" w:type="dxa"/>
              <w:right w:w="15" w:type="dxa"/>
            </w:tcMar>
            <w:vAlign w:val="center"/>
          </w:tcPr>
          <w:p>
            <w:pPr>
              <w:rPr>
                <w:rFonts w:hint="eastAsia" w:ascii="宋体"/>
                <w:sz w:val="24"/>
                <w:szCs w:val="24"/>
              </w:rPr>
            </w:pPr>
          </w:p>
        </w:tc>
        <w:tc>
          <w:tcPr>
            <w:tcW w:w="1500" w:type="dxa"/>
            <w:vMerge w:val="continue"/>
            <w:tcBorders>
              <w:top w:val="nil"/>
              <w:left w:val="nil"/>
              <w:bottom w:val="single" w:color="auto" w:sz="6" w:space="0"/>
              <w:right w:val="single" w:color="000000" w:sz="6" w:space="0"/>
            </w:tcBorders>
            <w:shd w:val="clear"/>
            <w:tcMar>
              <w:top w:w="15" w:type="dxa"/>
              <w:left w:w="15" w:type="dxa"/>
              <w:right w:w="15" w:type="dxa"/>
            </w:tcMar>
            <w:vAlign w:val="center"/>
          </w:tcPr>
          <w:p>
            <w:pPr>
              <w:rPr>
                <w:rFonts w:hint="eastAsia" w:ascii="宋体"/>
                <w:sz w:val="24"/>
                <w:szCs w:val="24"/>
              </w:rPr>
            </w:pPr>
          </w:p>
        </w:tc>
        <w:tc>
          <w:tcPr>
            <w:tcW w:w="495"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8"/>
                <w:szCs w:val="18"/>
                <w:bdr w:val="none" w:color="auto" w:sz="0" w:space="0"/>
              </w:rPr>
              <w:t>2</w:t>
            </w:r>
          </w:p>
        </w:tc>
        <w:tc>
          <w:tcPr>
            <w:tcW w:w="930" w:type="dxa"/>
            <w:tcBorders>
              <w:top w:val="nil"/>
              <w:left w:val="nil"/>
              <w:bottom w:val="single" w:color="000000"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8"/>
                <w:szCs w:val="18"/>
                <w:bdr w:val="none" w:color="auto" w:sz="0" w:space="0"/>
              </w:rPr>
              <w:t>语文2</w:t>
            </w:r>
          </w:p>
        </w:tc>
        <w:tc>
          <w:tcPr>
            <w:tcW w:w="5460" w:type="dxa"/>
            <w:tcBorders>
              <w:top w:val="nil"/>
              <w:left w:val="nil"/>
              <w:bottom w:val="single" w:color="auto"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rPr>
                <w:sz w:val="21"/>
                <w:szCs w:val="21"/>
              </w:rPr>
            </w:pPr>
            <w:r>
              <w:rPr>
                <w:rFonts w:hint="eastAsia" w:ascii="宋体" w:hAnsi="宋体" w:eastAsia="宋体" w:cs="宋体"/>
                <w:sz w:val="18"/>
                <w:szCs w:val="18"/>
                <w:bdr w:val="none" w:color="auto" w:sz="0" w:space="0"/>
              </w:rPr>
              <w:t>中国语言文学类；汉语国际教育、学科教学（语文）专业</w:t>
            </w:r>
          </w:p>
        </w:tc>
        <w:tc>
          <w:tcPr>
            <w:tcW w:w="1320"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sz w:val="18"/>
                <w:szCs w:val="18"/>
                <w:bdr w:val="none" w:color="auto" w:sz="0" w:space="0"/>
              </w:rPr>
              <w:t>/</w:t>
            </w:r>
          </w:p>
        </w:tc>
      </w:tr>
      <w:tr>
        <w:tblPrEx>
          <w:tblCellMar>
            <w:top w:w="0" w:type="dxa"/>
            <w:left w:w="0" w:type="dxa"/>
            <w:bottom w:w="0" w:type="dxa"/>
            <w:right w:w="0" w:type="dxa"/>
          </w:tblCellMar>
        </w:tblPrEx>
        <w:trPr>
          <w:trHeight w:val="286" w:hRule="atLeast"/>
          <w:jc w:val="center"/>
        </w:trPr>
        <w:tc>
          <w:tcPr>
            <w:tcW w:w="465" w:type="dxa"/>
            <w:vMerge w:val="continue"/>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570" w:type="dxa"/>
            <w:vMerge w:val="continue"/>
            <w:tcBorders>
              <w:top w:val="nil"/>
              <w:left w:val="nil"/>
              <w:bottom w:val="nil"/>
              <w:right w:val="single" w:color="auto" w:sz="6" w:space="0"/>
            </w:tcBorders>
            <w:shd w:val="clear"/>
            <w:tcMar>
              <w:top w:w="15" w:type="dxa"/>
              <w:left w:w="15" w:type="dxa"/>
              <w:right w:w="15" w:type="dxa"/>
            </w:tcMar>
            <w:vAlign w:val="center"/>
          </w:tcPr>
          <w:p>
            <w:pPr>
              <w:rPr>
                <w:rFonts w:hint="eastAsia" w:ascii="宋体"/>
                <w:sz w:val="24"/>
                <w:szCs w:val="24"/>
              </w:rPr>
            </w:pPr>
          </w:p>
        </w:tc>
        <w:tc>
          <w:tcPr>
            <w:tcW w:w="1500" w:type="dxa"/>
            <w:vMerge w:val="continue"/>
            <w:tcBorders>
              <w:top w:val="nil"/>
              <w:left w:val="nil"/>
              <w:bottom w:val="single" w:color="auto" w:sz="6" w:space="0"/>
              <w:right w:val="single" w:color="000000" w:sz="6" w:space="0"/>
            </w:tcBorders>
            <w:shd w:val="clear"/>
            <w:tcMar>
              <w:top w:w="15" w:type="dxa"/>
              <w:left w:w="15" w:type="dxa"/>
              <w:right w:w="15" w:type="dxa"/>
            </w:tcMar>
            <w:vAlign w:val="center"/>
          </w:tcPr>
          <w:p>
            <w:pPr>
              <w:rPr>
                <w:rFonts w:hint="eastAsia" w:ascii="宋体"/>
                <w:sz w:val="24"/>
                <w:szCs w:val="24"/>
              </w:rPr>
            </w:pPr>
          </w:p>
        </w:tc>
        <w:tc>
          <w:tcPr>
            <w:tcW w:w="495"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eastAsia" w:ascii="宋体" w:hAnsi="宋体" w:eastAsia="宋体" w:cs="宋体"/>
                <w:sz w:val="18"/>
                <w:szCs w:val="18"/>
                <w:bdr w:val="none" w:color="auto" w:sz="0" w:space="0"/>
              </w:rPr>
              <w:t>1</w:t>
            </w:r>
          </w:p>
        </w:tc>
        <w:tc>
          <w:tcPr>
            <w:tcW w:w="930" w:type="dxa"/>
            <w:tcBorders>
              <w:top w:val="nil"/>
              <w:left w:val="nil"/>
              <w:bottom w:val="single" w:color="000000"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8"/>
                <w:szCs w:val="18"/>
                <w:bdr w:val="none" w:color="auto" w:sz="0" w:space="0"/>
              </w:rPr>
              <w:t>数学1</w:t>
            </w:r>
          </w:p>
        </w:tc>
        <w:tc>
          <w:tcPr>
            <w:tcW w:w="5460" w:type="dxa"/>
            <w:tcBorders>
              <w:top w:val="nil"/>
              <w:left w:val="nil"/>
              <w:bottom w:val="single" w:color="auto"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sz w:val="21"/>
                <w:szCs w:val="21"/>
              </w:rPr>
            </w:pPr>
            <w:r>
              <w:rPr>
                <w:rFonts w:hint="eastAsia" w:ascii="宋体" w:hAnsi="宋体" w:eastAsia="宋体" w:cs="宋体"/>
                <w:sz w:val="18"/>
                <w:szCs w:val="18"/>
                <w:bdr w:val="none" w:color="auto" w:sz="0" w:space="0"/>
              </w:rPr>
              <w:t>数学类；学科教学（数学）专业</w:t>
            </w:r>
          </w:p>
        </w:tc>
        <w:tc>
          <w:tcPr>
            <w:tcW w:w="1320"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sz w:val="18"/>
                <w:szCs w:val="18"/>
                <w:bdr w:val="none" w:color="auto" w:sz="0" w:space="0"/>
              </w:rPr>
              <w:t>硕士研究生或“双一流”本科</w:t>
            </w:r>
          </w:p>
        </w:tc>
      </w:tr>
      <w:tr>
        <w:tblPrEx>
          <w:tblCellMar>
            <w:top w:w="0" w:type="dxa"/>
            <w:left w:w="0" w:type="dxa"/>
            <w:bottom w:w="0" w:type="dxa"/>
            <w:right w:w="0" w:type="dxa"/>
          </w:tblCellMar>
        </w:tblPrEx>
        <w:trPr>
          <w:trHeight w:val="286" w:hRule="atLeast"/>
          <w:jc w:val="center"/>
        </w:trPr>
        <w:tc>
          <w:tcPr>
            <w:tcW w:w="465" w:type="dxa"/>
            <w:vMerge w:val="continue"/>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570" w:type="dxa"/>
            <w:vMerge w:val="continue"/>
            <w:tcBorders>
              <w:top w:val="nil"/>
              <w:left w:val="nil"/>
              <w:bottom w:val="nil"/>
              <w:right w:val="single" w:color="auto" w:sz="6" w:space="0"/>
            </w:tcBorders>
            <w:shd w:val="clear"/>
            <w:tcMar>
              <w:top w:w="15" w:type="dxa"/>
              <w:left w:w="15" w:type="dxa"/>
              <w:right w:w="15" w:type="dxa"/>
            </w:tcMar>
            <w:vAlign w:val="center"/>
          </w:tcPr>
          <w:p>
            <w:pPr>
              <w:rPr>
                <w:rFonts w:hint="eastAsia" w:ascii="宋体"/>
                <w:sz w:val="24"/>
                <w:szCs w:val="24"/>
              </w:rPr>
            </w:pPr>
          </w:p>
        </w:tc>
        <w:tc>
          <w:tcPr>
            <w:tcW w:w="1500" w:type="dxa"/>
            <w:vMerge w:val="continue"/>
            <w:tcBorders>
              <w:top w:val="nil"/>
              <w:left w:val="nil"/>
              <w:bottom w:val="single" w:color="auto" w:sz="6" w:space="0"/>
              <w:right w:val="single" w:color="000000" w:sz="6" w:space="0"/>
            </w:tcBorders>
            <w:shd w:val="clear"/>
            <w:tcMar>
              <w:top w:w="15" w:type="dxa"/>
              <w:left w:w="15" w:type="dxa"/>
              <w:right w:w="15" w:type="dxa"/>
            </w:tcMar>
            <w:vAlign w:val="center"/>
          </w:tcPr>
          <w:p>
            <w:pPr>
              <w:rPr>
                <w:rFonts w:hint="eastAsia" w:ascii="宋体"/>
                <w:sz w:val="24"/>
                <w:szCs w:val="24"/>
              </w:rPr>
            </w:pPr>
          </w:p>
        </w:tc>
        <w:tc>
          <w:tcPr>
            <w:tcW w:w="495"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eastAsia" w:ascii="宋体" w:hAnsi="宋体" w:eastAsia="宋体" w:cs="宋体"/>
                <w:sz w:val="18"/>
                <w:szCs w:val="18"/>
                <w:bdr w:val="none" w:color="auto" w:sz="0" w:space="0"/>
              </w:rPr>
              <w:t>1</w:t>
            </w:r>
          </w:p>
        </w:tc>
        <w:tc>
          <w:tcPr>
            <w:tcW w:w="930" w:type="dxa"/>
            <w:tcBorders>
              <w:top w:val="nil"/>
              <w:left w:val="nil"/>
              <w:bottom w:val="single" w:color="000000"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8"/>
                <w:szCs w:val="18"/>
                <w:bdr w:val="none" w:color="auto" w:sz="0" w:space="0"/>
              </w:rPr>
              <w:t>数学2</w:t>
            </w:r>
          </w:p>
        </w:tc>
        <w:tc>
          <w:tcPr>
            <w:tcW w:w="5460" w:type="dxa"/>
            <w:tcBorders>
              <w:top w:val="nil"/>
              <w:left w:val="nil"/>
              <w:bottom w:val="single" w:color="auto"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sz w:val="21"/>
                <w:szCs w:val="21"/>
              </w:rPr>
            </w:pPr>
            <w:r>
              <w:rPr>
                <w:rFonts w:hint="eastAsia" w:ascii="宋体" w:hAnsi="宋体" w:eastAsia="宋体" w:cs="宋体"/>
                <w:sz w:val="18"/>
                <w:szCs w:val="18"/>
                <w:bdr w:val="none" w:color="auto" w:sz="0" w:space="0"/>
              </w:rPr>
              <w:t>数学类；学科教学（数学）专业</w:t>
            </w:r>
          </w:p>
        </w:tc>
        <w:tc>
          <w:tcPr>
            <w:tcW w:w="1320"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sz w:val="18"/>
                <w:szCs w:val="18"/>
                <w:bdr w:val="none" w:color="auto" w:sz="0" w:space="0"/>
              </w:rPr>
              <w:t>/</w:t>
            </w:r>
          </w:p>
        </w:tc>
      </w:tr>
      <w:tr>
        <w:tblPrEx>
          <w:tblCellMar>
            <w:top w:w="0" w:type="dxa"/>
            <w:left w:w="0" w:type="dxa"/>
            <w:bottom w:w="0" w:type="dxa"/>
            <w:right w:w="0" w:type="dxa"/>
          </w:tblCellMar>
        </w:tblPrEx>
        <w:trPr>
          <w:trHeight w:val="316" w:hRule="atLeast"/>
          <w:jc w:val="center"/>
        </w:trPr>
        <w:tc>
          <w:tcPr>
            <w:tcW w:w="465" w:type="dxa"/>
            <w:vMerge w:val="continue"/>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570" w:type="dxa"/>
            <w:vMerge w:val="continue"/>
            <w:tcBorders>
              <w:top w:val="nil"/>
              <w:left w:val="nil"/>
              <w:bottom w:val="nil"/>
              <w:right w:val="single" w:color="auto" w:sz="6" w:space="0"/>
            </w:tcBorders>
            <w:shd w:val="clear"/>
            <w:tcMar>
              <w:top w:w="15" w:type="dxa"/>
              <w:left w:w="15" w:type="dxa"/>
              <w:right w:w="15" w:type="dxa"/>
            </w:tcMar>
            <w:vAlign w:val="center"/>
          </w:tcPr>
          <w:p>
            <w:pPr>
              <w:rPr>
                <w:rFonts w:hint="eastAsia" w:ascii="宋体"/>
                <w:sz w:val="24"/>
                <w:szCs w:val="24"/>
              </w:rPr>
            </w:pPr>
          </w:p>
        </w:tc>
        <w:tc>
          <w:tcPr>
            <w:tcW w:w="1500" w:type="dxa"/>
            <w:vMerge w:val="continue"/>
            <w:tcBorders>
              <w:top w:val="nil"/>
              <w:left w:val="nil"/>
              <w:bottom w:val="single" w:color="auto" w:sz="6" w:space="0"/>
              <w:right w:val="single" w:color="000000" w:sz="6" w:space="0"/>
            </w:tcBorders>
            <w:shd w:val="clear"/>
            <w:tcMar>
              <w:top w:w="15" w:type="dxa"/>
              <w:left w:w="15" w:type="dxa"/>
              <w:right w:w="15" w:type="dxa"/>
            </w:tcMar>
            <w:vAlign w:val="center"/>
          </w:tcPr>
          <w:p>
            <w:pPr>
              <w:rPr>
                <w:rFonts w:hint="eastAsia" w:ascii="宋体"/>
                <w:sz w:val="24"/>
                <w:szCs w:val="24"/>
              </w:rPr>
            </w:pPr>
          </w:p>
        </w:tc>
        <w:tc>
          <w:tcPr>
            <w:tcW w:w="495"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eastAsia" w:ascii="宋体" w:hAnsi="宋体" w:eastAsia="宋体" w:cs="宋体"/>
                <w:sz w:val="18"/>
                <w:szCs w:val="18"/>
                <w:bdr w:val="none" w:color="auto" w:sz="0" w:space="0"/>
              </w:rPr>
              <w:t>1</w:t>
            </w:r>
          </w:p>
        </w:tc>
        <w:tc>
          <w:tcPr>
            <w:tcW w:w="930"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8"/>
                <w:szCs w:val="18"/>
                <w:bdr w:val="none" w:color="auto" w:sz="0" w:space="0"/>
              </w:rPr>
              <w:t>科学</w:t>
            </w:r>
          </w:p>
        </w:tc>
        <w:tc>
          <w:tcPr>
            <w:tcW w:w="5460" w:type="dxa"/>
            <w:tcBorders>
              <w:top w:val="nil"/>
              <w:left w:val="nil"/>
              <w:bottom w:val="single" w:color="000000"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sz w:val="21"/>
                <w:szCs w:val="21"/>
              </w:rPr>
            </w:pPr>
            <w:r>
              <w:rPr>
                <w:rFonts w:hint="eastAsia" w:ascii="宋体" w:hAnsi="宋体" w:eastAsia="宋体" w:cs="宋体"/>
                <w:sz w:val="18"/>
                <w:szCs w:val="18"/>
                <w:bdr w:val="none" w:color="auto" w:sz="0" w:space="0"/>
              </w:rPr>
              <w:t>物理学、化学、地理科学、生物科学、科学教育、学科教学（物理）、学科教学（化学）、学科教学（地理）、学科教学（生物）专业</w:t>
            </w:r>
          </w:p>
        </w:tc>
        <w:tc>
          <w:tcPr>
            <w:tcW w:w="1320"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sz w:val="18"/>
                <w:szCs w:val="18"/>
                <w:bdr w:val="none" w:color="auto" w:sz="0" w:space="0"/>
              </w:rPr>
              <w:t>/</w:t>
            </w:r>
          </w:p>
        </w:tc>
      </w:tr>
      <w:tr>
        <w:tblPrEx>
          <w:tblCellMar>
            <w:top w:w="0" w:type="dxa"/>
            <w:left w:w="0" w:type="dxa"/>
            <w:bottom w:w="0" w:type="dxa"/>
            <w:right w:w="0" w:type="dxa"/>
          </w:tblCellMar>
        </w:tblPrEx>
        <w:trPr>
          <w:trHeight w:val="330" w:hRule="atLeast"/>
          <w:jc w:val="center"/>
        </w:trPr>
        <w:tc>
          <w:tcPr>
            <w:tcW w:w="465" w:type="dxa"/>
            <w:vMerge w:val="continue"/>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570" w:type="dxa"/>
            <w:vMerge w:val="continue"/>
            <w:tcBorders>
              <w:top w:val="nil"/>
              <w:left w:val="nil"/>
              <w:bottom w:val="nil"/>
              <w:right w:val="single" w:color="auto" w:sz="6" w:space="0"/>
            </w:tcBorders>
            <w:shd w:val="clear"/>
            <w:tcMar>
              <w:top w:w="15" w:type="dxa"/>
              <w:left w:w="15" w:type="dxa"/>
              <w:right w:w="15" w:type="dxa"/>
            </w:tcMar>
            <w:vAlign w:val="center"/>
          </w:tcPr>
          <w:p>
            <w:pPr>
              <w:rPr>
                <w:rFonts w:hint="eastAsia" w:ascii="宋体"/>
                <w:sz w:val="24"/>
                <w:szCs w:val="24"/>
              </w:rPr>
            </w:pPr>
          </w:p>
        </w:tc>
        <w:tc>
          <w:tcPr>
            <w:tcW w:w="1500" w:type="dxa"/>
            <w:vMerge w:val="continue"/>
            <w:tcBorders>
              <w:top w:val="nil"/>
              <w:left w:val="nil"/>
              <w:bottom w:val="single" w:color="auto" w:sz="6" w:space="0"/>
              <w:right w:val="single" w:color="000000" w:sz="6" w:space="0"/>
            </w:tcBorders>
            <w:shd w:val="clear"/>
            <w:tcMar>
              <w:top w:w="15" w:type="dxa"/>
              <w:left w:w="15" w:type="dxa"/>
              <w:right w:w="15" w:type="dxa"/>
            </w:tcMar>
            <w:vAlign w:val="center"/>
          </w:tcPr>
          <w:p>
            <w:pPr>
              <w:rPr>
                <w:rFonts w:hint="eastAsia" w:ascii="宋体"/>
                <w:sz w:val="24"/>
                <w:szCs w:val="24"/>
              </w:rPr>
            </w:pPr>
          </w:p>
        </w:tc>
        <w:tc>
          <w:tcPr>
            <w:tcW w:w="495"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eastAsia" w:ascii="宋体" w:hAnsi="宋体" w:eastAsia="宋体" w:cs="宋体"/>
                <w:sz w:val="18"/>
                <w:szCs w:val="18"/>
                <w:bdr w:val="none" w:color="auto" w:sz="0" w:space="0"/>
              </w:rPr>
              <w:t>1</w:t>
            </w:r>
          </w:p>
        </w:tc>
        <w:tc>
          <w:tcPr>
            <w:tcW w:w="930"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8"/>
                <w:szCs w:val="18"/>
                <w:bdr w:val="none" w:color="auto" w:sz="0" w:space="0"/>
              </w:rPr>
              <w:t>英语</w:t>
            </w:r>
          </w:p>
        </w:tc>
        <w:tc>
          <w:tcPr>
            <w:tcW w:w="5460" w:type="dxa"/>
            <w:tcBorders>
              <w:top w:val="nil"/>
              <w:left w:val="nil"/>
              <w:bottom w:val="single" w:color="auto"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sz w:val="21"/>
                <w:szCs w:val="21"/>
              </w:rPr>
            </w:pPr>
            <w:r>
              <w:rPr>
                <w:rFonts w:hint="eastAsia" w:ascii="宋体" w:hAnsi="宋体" w:eastAsia="宋体" w:cs="宋体"/>
                <w:sz w:val="18"/>
                <w:szCs w:val="18"/>
                <w:bdr w:val="none" w:color="auto" w:sz="0" w:space="0"/>
              </w:rPr>
              <w:t>英语、商务英语、翻译（英语）、学科教学（英语）专业</w:t>
            </w:r>
          </w:p>
        </w:tc>
        <w:tc>
          <w:tcPr>
            <w:tcW w:w="1320"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sz w:val="18"/>
                <w:szCs w:val="18"/>
                <w:bdr w:val="none" w:color="auto" w:sz="0" w:space="0"/>
              </w:rPr>
              <w:t>/</w:t>
            </w:r>
          </w:p>
        </w:tc>
      </w:tr>
      <w:tr>
        <w:tblPrEx>
          <w:tblCellMar>
            <w:top w:w="0" w:type="dxa"/>
            <w:left w:w="0" w:type="dxa"/>
            <w:bottom w:w="0" w:type="dxa"/>
            <w:right w:w="0" w:type="dxa"/>
          </w:tblCellMar>
        </w:tblPrEx>
        <w:trPr>
          <w:trHeight w:val="330" w:hRule="atLeast"/>
          <w:jc w:val="center"/>
        </w:trPr>
        <w:tc>
          <w:tcPr>
            <w:tcW w:w="465" w:type="dxa"/>
            <w:vMerge w:val="continue"/>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570" w:type="dxa"/>
            <w:vMerge w:val="continue"/>
            <w:tcBorders>
              <w:top w:val="nil"/>
              <w:left w:val="nil"/>
              <w:bottom w:val="nil"/>
              <w:right w:val="single" w:color="auto" w:sz="6" w:space="0"/>
            </w:tcBorders>
            <w:shd w:val="clear"/>
            <w:tcMar>
              <w:top w:w="15" w:type="dxa"/>
              <w:left w:w="15" w:type="dxa"/>
              <w:right w:w="15" w:type="dxa"/>
            </w:tcMar>
            <w:vAlign w:val="center"/>
          </w:tcPr>
          <w:p>
            <w:pPr>
              <w:rPr>
                <w:rFonts w:hint="eastAsia" w:ascii="宋体"/>
                <w:sz w:val="24"/>
                <w:szCs w:val="24"/>
              </w:rPr>
            </w:pPr>
          </w:p>
        </w:tc>
        <w:tc>
          <w:tcPr>
            <w:tcW w:w="1500" w:type="dxa"/>
            <w:vMerge w:val="continue"/>
            <w:tcBorders>
              <w:top w:val="nil"/>
              <w:left w:val="nil"/>
              <w:bottom w:val="single" w:color="auto" w:sz="6" w:space="0"/>
              <w:right w:val="single" w:color="000000" w:sz="6" w:space="0"/>
            </w:tcBorders>
            <w:shd w:val="clear"/>
            <w:tcMar>
              <w:top w:w="15" w:type="dxa"/>
              <w:left w:w="15" w:type="dxa"/>
              <w:right w:w="15" w:type="dxa"/>
            </w:tcMar>
            <w:vAlign w:val="center"/>
          </w:tcPr>
          <w:p>
            <w:pPr>
              <w:rPr>
                <w:rFonts w:hint="eastAsia" w:ascii="宋体"/>
                <w:sz w:val="24"/>
                <w:szCs w:val="24"/>
              </w:rPr>
            </w:pPr>
          </w:p>
        </w:tc>
        <w:tc>
          <w:tcPr>
            <w:tcW w:w="495"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eastAsia" w:ascii="宋体" w:hAnsi="宋体" w:eastAsia="宋体" w:cs="宋体"/>
                <w:sz w:val="18"/>
                <w:szCs w:val="18"/>
                <w:bdr w:val="none" w:color="auto" w:sz="0" w:space="0"/>
              </w:rPr>
              <w:t>1</w:t>
            </w:r>
          </w:p>
        </w:tc>
        <w:tc>
          <w:tcPr>
            <w:tcW w:w="930" w:type="dxa"/>
            <w:tcBorders>
              <w:top w:val="nil"/>
              <w:left w:val="nil"/>
              <w:bottom w:val="single" w:color="000000"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8"/>
                <w:szCs w:val="18"/>
                <w:bdr w:val="none" w:color="auto" w:sz="0" w:space="0"/>
              </w:rPr>
              <w:t>历史与社会</w:t>
            </w:r>
          </w:p>
        </w:tc>
        <w:tc>
          <w:tcPr>
            <w:tcW w:w="5460" w:type="dxa"/>
            <w:tcBorders>
              <w:top w:val="nil"/>
              <w:left w:val="nil"/>
              <w:bottom w:val="single" w:color="auto"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sz w:val="21"/>
                <w:szCs w:val="21"/>
              </w:rPr>
            </w:pPr>
            <w:r>
              <w:rPr>
                <w:rFonts w:hint="eastAsia" w:ascii="宋体" w:hAnsi="宋体" w:eastAsia="宋体" w:cs="宋体"/>
                <w:sz w:val="18"/>
                <w:szCs w:val="18"/>
                <w:bdr w:val="none" w:color="auto" w:sz="0" w:space="0"/>
              </w:rPr>
              <w:t>历史学类、马克思主义理论类、地理科学类；人文教育、学科教学（思政）、学科教学（历史）、学科教学（地理）专业</w:t>
            </w:r>
          </w:p>
        </w:tc>
        <w:tc>
          <w:tcPr>
            <w:tcW w:w="1320"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sz w:val="18"/>
                <w:szCs w:val="18"/>
                <w:bdr w:val="none" w:color="auto" w:sz="0" w:space="0"/>
              </w:rPr>
              <w:t>/</w:t>
            </w:r>
          </w:p>
        </w:tc>
      </w:tr>
      <w:tr>
        <w:tblPrEx>
          <w:tblCellMar>
            <w:top w:w="0" w:type="dxa"/>
            <w:left w:w="0" w:type="dxa"/>
            <w:bottom w:w="0" w:type="dxa"/>
            <w:right w:w="0" w:type="dxa"/>
          </w:tblCellMar>
        </w:tblPrEx>
        <w:trPr>
          <w:trHeight w:val="286" w:hRule="atLeast"/>
          <w:jc w:val="center"/>
        </w:trPr>
        <w:tc>
          <w:tcPr>
            <w:tcW w:w="465" w:type="dxa"/>
            <w:vMerge w:val="continue"/>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570" w:type="dxa"/>
            <w:vMerge w:val="continue"/>
            <w:tcBorders>
              <w:top w:val="nil"/>
              <w:left w:val="nil"/>
              <w:bottom w:val="nil"/>
              <w:right w:val="single" w:color="auto" w:sz="6" w:space="0"/>
            </w:tcBorders>
            <w:shd w:val="clear"/>
            <w:tcMar>
              <w:top w:w="15" w:type="dxa"/>
              <w:left w:w="15" w:type="dxa"/>
              <w:right w:w="15" w:type="dxa"/>
            </w:tcMar>
            <w:vAlign w:val="center"/>
          </w:tcPr>
          <w:p>
            <w:pPr>
              <w:rPr>
                <w:rFonts w:hint="eastAsia" w:ascii="宋体"/>
                <w:sz w:val="24"/>
                <w:szCs w:val="24"/>
              </w:rPr>
            </w:pPr>
          </w:p>
        </w:tc>
        <w:tc>
          <w:tcPr>
            <w:tcW w:w="1500" w:type="dxa"/>
            <w:vMerge w:val="continue"/>
            <w:tcBorders>
              <w:top w:val="nil"/>
              <w:left w:val="nil"/>
              <w:bottom w:val="single" w:color="auto" w:sz="6" w:space="0"/>
              <w:right w:val="single" w:color="000000" w:sz="6" w:space="0"/>
            </w:tcBorders>
            <w:shd w:val="clear"/>
            <w:tcMar>
              <w:top w:w="15" w:type="dxa"/>
              <w:left w:w="15" w:type="dxa"/>
              <w:right w:w="15" w:type="dxa"/>
            </w:tcMar>
            <w:vAlign w:val="center"/>
          </w:tcPr>
          <w:p>
            <w:pPr>
              <w:rPr>
                <w:rFonts w:hint="eastAsia" w:ascii="宋体"/>
                <w:sz w:val="24"/>
                <w:szCs w:val="24"/>
              </w:rPr>
            </w:pPr>
          </w:p>
        </w:tc>
        <w:tc>
          <w:tcPr>
            <w:tcW w:w="495"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eastAsia" w:ascii="宋体" w:hAnsi="宋体" w:eastAsia="宋体" w:cs="宋体"/>
                <w:sz w:val="18"/>
                <w:szCs w:val="18"/>
                <w:bdr w:val="none" w:color="auto" w:sz="0" w:space="0"/>
              </w:rPr>
              <w:t>1</w:t>
            </w:r>
          </w:p>
        </w:tc>
        <w:tc>
          <w:tcPr>
            <w:tcW w:w="930" w:type="dxa"/>
            <w:tcBorders>
              <w:top w:val="nil"/>
              <w:left w:val="nil"/>
              <w:bottom w:val="single" w:color="000000"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sz w:val="18"/>
                <w:szCs w:val="18"/>
                <w:bdr w:val="none" w:color="auto" w:sz="0" w:space="0"/>
              </w:rPr>
              <w:t>计算机信息技术</w:t>
            </w:r>
          </w:p>
        </w:tc>
        <w:tc>
          <w:tcPr>
            <w:tcW w:w="5460" w:type="dxa"/>
            <w:tcBorders>
              <w:top w:val="nil"/>
              <w:left w:val="nil"/>
              <w:bottom w:val="single" w:color="auto"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sz w:val="21"/>
                <w:szCs w:val="21"/>
              </w:rPr>
            </w:pPr>
            <w:r>
              <w:rPr>
                <w:rFonts w:hint="eastAsia" w:ascii="宋体" w:hAnsi="宋体" w:eastAsia="宋体" w:cs="宋体"/>
                <w:sz w:val="18"/>
                <w:szCs w:val="18"/>
                <w:bdr w:val="none" w:color="auto" w:sz="0" w:space="0"/>
              </w:rPr>
              <w:t>计算机类；教育技术学专业</w:t>
            </w:r>
          </w:p>
        </w:tc>
        <w:tc>
          <w:tcPr>
            <w:tcW w:w="1320"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sz w:val="18"/>
                <w:szCs w:val="18"/>
                <w:bdr w:val="none" w:color="auto" w:sz="0" w:space="0"/>
              </w:rPr>
              <w:t>/</w:t>
            </w:r>
          </w:p>
        </w:tc>
      </w:tr>
      <w:tr>
        <w:tblPrEx>
          <w:tblCellMar>
            <w:top w:w="0" w:type="dxa"/>
            <w:left w:w="0" w:type="dxa"/>
            <w:bottom w:w="0" w:type="dxa"/>
            <w:right w:w="0" w:type="dxa"/>
          </w:tblCellMar>
        </w:tblPrEx>
        <w:trPr>
          <w:trHeight w:val="301" w:hRule="atLeast"/>
          <w:jc w:val="center"/>
        </w:trPr>
        <w:tc>
          <w:tcPr>
            <w:tcW w:w="465" w:type="dxa"/>
            <w:vMerge w:val="continue"/>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570" w:type="dxa"/>
            <w:vMerge w:val="continue"/>
            <w:tcBorders>
              <w:top w:val="nil"/>
              <w:left w:val="nil"/>
              <w:bottom w:val="nil"/>
              <w:right w:val="single" w:color="auto" w:sz="6" w:space="0"/>
            </w:tcBorders>
            <w:shd w:val="clear"/>
            <w:tcMar>
              <w:top w:w="15" w:type="dxa"/>
              <w:left w:w="15" w:type="dxa"/>
              <w:right w:w="15" w:type="dxa"/>
            </w:tcMar>
            <w:vAlign w:val="center"/>
          </w:tcPr>
          <w:p>
            <w:pPr>
              <w:rPr>
                <w:rFonts w:hint="eastAsia" w:ascii="宋体"/>
                <w:sz w:val="24"/>
                <w:szCs w:val="24"/>
              </w:rPr>
            </w:pPr>
          </w:p>
        </w:tc>
        <w:tc>
          <w:tcPr>
            <w:tcW w:w="1500" w:type="dxa"/>
            <w:vMerge w:val="restart"/>
            <w:tcBorders>
              <w:top w:val="nil"/>
              <w:left w:val="nil"/>
              <w:bottom w:val="nil"/>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eastAsia" w:ascii="宋体" w:hAnsi="宋体" w:eastAsia="宋体" w:cs="宋体"/>
                <w:sz w:val="18"/>
                <w:szCs w:val="18"/>
                <w:bdr w:val="none" w:color="auto" w:sz="0" w:space="0"/>
              </w:rPr>
              <w:t>面向平湖小学统配</w:t>
            </w:r>
          </w:p>
        </w:tc>
        <w:tc>
          <w:tcPr>
            <w:tcW w:w="495"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8"/>
                <w:szCs w:val="18"/>
                <w:bdr w:val="none" w:color="auto" w:sz="0" w:space="0"/>
              </w:rPr>
              <w:t>4</w:t>
            </w:r>
          </w:p>
        </w:tc>
        <w:tc>
          <w:tcPr>
            <w:tcW w:w="930"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8"/>
                <w:szCs w:val="18"/>
                <w:bdr w:val="none" w:color="auto" w:sz="0" w:space="0"/>
              </w:rPr>
              <w:t>语文1</w:t>
            </w:r>
          </w:p>
        </w:tc>
        <w:tc>
          <w:tcPr>
            <w:tcW w:w="5460" w:type="dxa"/>
            <w:tcBorders>
              <w:top w:val="nil"/>
              <w:left w:val="nil"/>
              <w:bottom w:val="single" w:color="auto"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sz w:val="21"/>
                <w:szCs w:val="21"/>
              </w:rPr>
            </w:pPr>
            <w:r>
              <w:rPr>
                <w:rFonts w:hint="eastAsia" w:ascii="宋体" w:hAnsi="宋体" w:eastAsia="宋体" w:cs="宋体"/>
                <w:sz w:val="18"/>
                <w:szCs w:val="18"/>
                <w:bdr w:val="none" w:color="auto" w:sz="0" w:space="0"/>
              </w:rPr>
              <w:t>中国语言文学类；汉语国际教育、学科教学（语文）、小学教育专业</w:t>
            </w:r>
          </w:p>
        </w:tc>
        <w:tc>
          <w:tcPr>
            <w:tcW w:w="1320"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sz w:val="18"/>
                <w:szCs w:val="18"/>
                <w:bdr w:val="none" w:color="auto" w:sz="0" w:space="0"/>
              </w:rPr>
              <w:t>硕士研究生或“双一流”本科</w:t>
            </w:r>
          </w:p>
        </w:tc>
      </w:tr>
      <w:tr>
        <w:tblPrEx>
          <w:tblCellMar>
            <w:top w:w="0" w:type="dxa"/>
            <w:left w:w="0" w:type="dxa"/>
            <w:bottom w:w="0" w:type="dxa"/>
            <w:right w:w="0" w:type="dxa"/>
          </w:tblCellMar>
        </w:tblPrEx>
        <w:trPr>
          <w:trHeight w:val="450" w:hRule="atLeast"/>
          <w:jc w:val="center"/>
        </w:trPr>
        <w:tc>
          <w:tcPr>
            <w:tcW w:w="465" w:type="dxa"/>
            <w:vMerge w:val="continue"/>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570" w:type="dxa"/>
            <w:vMerge w:val="continue"/>
            <w:tcBorders>
              <w:top w:val="nil"/>
              <w:left w:val="nil"/>
              <w:bottom w:val="nil"/>
              <w:right w:val="single" w:color="auto" w:sz="6" w:space="0"/>
            </w:tcBorders>
            <w:shd w:val="clear"/>
            <w:tcMar>
              <w:top w:w="15" w:type="dxa"/>
              <w:left w:w="15" w:type="dxa"/>
              <w:right w:w="15" w:type="dxa"/>
            </w:tcMar>
            <w:vAlign w:val="center"/>
          </w:tcPr>
          <w:p>
            <w:pPr>
              <w:rPr>
                <w:rFonts w:hint="eastAsia" w:ascii="宋体"/>
                <w:sz w:val="24"/>
                <w:szCs w:val="24"/>
              </w:rPr>
            </w:pPr>
          </w:p>
        </w:tc>
        <w:tc>
          <w:tcPr>
            <w:tcW w:w="1500" w:type="dxa"/>
            <w:vMerge w:val="continue"/>
            <w:tcBorders>
              <w:top w:val="nil"/>
              <w:left w:val="nil"/>
              <w:bottom w:val="nil"/>
              <w:right w:val="single" w:color="000000" w:sz="6" w:space="0"/>
            </w:tcBorders>
            <w:shd w:val="clear"/>
            <w:tcMar>
              <w:top w:w="15" w:type="dxa"/>
              <w:left w:w="15" w:type="dxa"/>
              <w:right w:w="15" w:type="dxa"/>
            </w:tcMar>
            <w:vAlign w:val="center"/>
          </w:tcPr>
          <w:p>
            <w:pPr>
              <w:rPr>
                <w:rFonts w:hint="eastAsia" w:ascii="宋体"/>
                <w:sz w:val="24"/>
                <w:szCs w:val="24"/>
              </w:rPr>
            </w:pPr>
          </w:p>
        </w:tc>
        <w:tc>
          <w:tcPr>
            <w:tcW w:w="495" w:type="dxa"/>
            <w:tcBorders>
              <w:top w:val="nil"/>
              <w:left w:val="nil"/>
              <w:bottom w:val="single" w:color="auto"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8"/>
                <w:szCs w:val="18"/>
                <w:bdr w:val="none" w:color="auto" w:sz="0" w:space="0"/>
              </w:rPr>
              <w:t>14</w:t>
            </w:r>
          </w:p>
        </w:tc>
        <w:tc>
          <w:tcPr>
            <w:tcW w:w="930" w:type="dxa"/>
            <w:tcBorders>
              <w:top w:val="nil"/>
              <w:left w:val="nil"/>
              <w:bottom w:val="single" w:color="auto"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8"/>
                <w:szCs w:val="18"/>
                <w:bdr w:val="none" w:color="auto" w:sz="0" w:space="0"/>
              </w:rPr>
              <w:t>语文2</w:t>
            </w:r>
          </w:p>
        </w:tc>
        <w:tc>
          <w:tcPr>
            <w:tcW w:w="5460" w:type="dxa"/>
            <w:tcBorders>
              <w:top w:val="nil"/>
              <w:left w:val="nil"/>
              <w:bottom w:val="single" w:color="auto"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sz w:val="21"/>
                <w:szCs w:val="21"/>
              </w:rPr>
            </w:pPr>
            <w:r>
              <w:rPr>
                <w:rFonts w:hint="eastAsia" w:ascii="宋体" w:hAnsi="宋体" w:eastAsia="宋体" w:cs="宋体"/>
                <w:sz w:val="18"/>
                <w:szCs w:val="18"/>
                <w:bdr w:val="none" w:color="auto" w:sz="0" w:space="0"/>
              </w:rPr>
              <w:t>中国语言文学类；汉语国际教育、学科教学（语文）、小学教育专业</w:t>
            </w:r>
          </w:p>
        </w:tc>
        <w:tc>
          <w:tcPr>
            <w:tcW w:w="1320" w:type="dxa"/>
            <w:tcBorders>
              <w:top w:val="nil"/>
              <w:left w:val="nil"/>
              <w:bottom w:val="single" w:color="auto"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sz w:val="18"/>
                <w:szCs w:val="18"/>
                <w:bdr w:val="none" w:color="auto" w:sz="0" w:space="0"/>
              </w:rPr>
              <w:t>/</w:t>
            </w:r>
          </w:p>
        </w:tc>
      </w:tr>
      <w:tr>
        <w:tblPrEx>
          <w:tblCellMar>
            <w:top w:w="0" w:type="dxa"/>
            <w:left w:w="0" w:type="dxa"/>
            <w:bottom w:w="0" w:type="dxa"/>
            <w:right w:w="0" w:type="dxa"/>
          </w:tblCellMar>
        </w:tblPrEx>
        <w:trPr>
          <w:trHeight w:val="450" w:hRule="atLeast"/>
          <w:jc w:val="center"/>
        </w:trPr>
        <w:tc>
          <w:tcPr>
            <w:tcW w:w="465" w:type="dxa"/>
            <w:vMerge w:val="continue"/>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570" w:type="dxa"/>
            <w:vMerge w:val="continue"/>
            <w:tcBorders>
              <w:top w:val="nil"/>
              <w:left w:val="nil"/>
              <w:bottom w:val="nil"/>
              <w:right w:val="single" w:color="auto" w:sz="6" w:space="0"/>
            </w:tcBorders>
            <w:shd w:val="clear"/>
            <w:tcMar>
              <w:top w:w="15" w:type="dxa"/>
              <w:left w:w="15" w:type="dxa"/>
              <w:right w:w="15" w:type="dxa"/>
            </w:tcMar>
            <w:vAlign w:val="center"/>
          </w:tcPr>
          <w:p>
            <w:pPr>
              <w:rPr>
                <w:rFonts w:hint="eastAsia" w:ascii="宋体"/>
                <w:sz w:val="24"/>
                <w:szCs w:val="24"/>
              </w:rPr>
            </w:pPr>
          </w:p>
        </w:tc>
        <w:tc>
          <w:tcPr>
            <w:tcW w:w="1500" w:type="dxa"/>
            <w:vMerge w:val="continue"/>
            <w:tcBorders>
              <w:top w:val="nil"/>
              <w:left w:val="nil"/>
              <w:bottom w:val="nil"/>
              <w:right w:val="single" w:color="000000" w:sz="6" w:space="0"/>
            </w:tcBorders>
            <w:shd w:val="clear"/>
            <w:tcMar>
              <w:top w:w="15" w:type="dxa"/>
              <w:left w:w="15" w:type="dxa"/>
              <w:right w:w="15" w:type="dxa"/>
            </w:tcMar>
            <w:vAlign w:val="center"/>
          </w:tcPr>
          <w:p>
            <w:pPr>
              <w:rPr>
                <w:rFonts w:hint="eastAsia" w:ascii="宋体"/>
                <w:sz w:val="24"/>
                <w:szCs w:val="24"/>
              </w:rPr>
            </w:pPr>
          </w:p>
        </w:tc>
        <w:tc>
          <w:tcPr>
            <w:tcW w:w="495" w:type="dxa"/>
            <w:tcBorders>
              <w:top w:val="nil"/>
              <w:left w:val="nil"/>
              <w:bottom w:val="single" w:color="auto"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eastAsia" w:ascii="宋体" w:hAnsi="宋体" w:eastAsia="宋体" w:cs="宋体"/>
                <w:sz w:val="18"/>
                <w:szCs w:val="18"/>
                <w:bdr w:val="none" w:color="auto" w:sz="0" w:space="0"/>
              </w:rPr>
              <w:t>2</w:t>
            </w:r>
          </w:p>
        </w:tc>
        <w:tc>
          <w:tcPr>
            <w:tcW w:w="930" w:type="dxa"/>
            <w:tcBorders>
              <w:top w:val="nil"/>
              <w:left w:val="nil"/>
              <w:bottom w:val="single" w:color="auto"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8"/>
                <w:szCs w:val="18"/>
                <w:bdr w:val="none" w:color="auto" w:sz="0" w:space="0"/>
              </w:rPr>
              <w:t>数学1</w:t>
            </w:r>
          </w:p>
        </w:tc>
        <w:tc>
          <w:tcPr>
            <w:tcW w:w="5460" w:type="dxa"/>
            <w:tcBorders>
              <w:top w:val="nil"/>
              <w:left w:val="nil"/>
              <w:bottom w:val="single" w:color="auto"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rFonts w:hint="eastAsia" w:ascii="宋体" w:hAnsi="宋体" w:eastAsia="宋体" w:cs="宋体"/>
                <w:sz w:val="18"/>
                <w:szCs w:val="18"/>
                <w:bdr w:val="none" w:color="auto" w:sz="0" w:space="0"/>
              </w:rPr>
              <w:t>数学类；学科教学（数学）、小学教育专业</w:t>
            </w:r>
          </w:p>
        </w:tc>
        <w:tc>
          <w:tcPr>
            <w:tcW w:w="1320" w:type="dxa"/>
            <w:tcBorders>
              <w:top w:val="nil"/>
              <w:left w:val="nil"/>
              <w:bottom w:val="single" w:color="auto"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sz w:val="18"/>
                <w:szCs w:val="18"/>
                <w:bdr w:val="none" w:color="auto" w:sz="0" w:space="0"/>
              </w:rPr>
              <w:t>硕士研究生或“双一流”本科</w:t>
            </w:r>
          </w:p>
        </w:tc>
      </w:tr>
      <w:tr>
        <w:tblPrEx>
          <w:tblCellMar>
            <w:top w:w="0" w:type="dxa"/>
            <w:left w:w="0" w:type="dxa"/>
            <w:bottom w:w="0" w:type="dxa"/>
            <w:right w:w="0" w:type="dxa"/>
          </w:tblCellMar>
        </w:tblPrEx>
        <w:trPr>
          <w:trHeight w:val="271" w:hRule="atLeast"/>
          <w:jc w:val="center"/>
        </w:trPr>
        <w:tc>
          <w:tcPr>
            <w:tcW w:w="465" w:type="dxa"/>
            <w:vMerge w:val="continue"/>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570" w:type="dxa"/>
            <w:vMerge w:val="continue"/>
            <w:tcBorders>
              <w:top w:val="nil"/>
              <w:left w:val="nil"/>
              <w:bottom w:val="nil"/>
              <w:right w:val="single" w:color="auto" w:sz="6" w:space="0"/>
            </w:tcBorders>
            <w:shd w:val="clear"/>
            <w:tcMar>
              <w:top w:w="15" w:type="dxa"/>
              <w:left w:w="15" w:type="dxa"/>
              <w:right w:w="15" w:type="dxa"/>
            </w:tcMar>
            <w:vAlign w:val="center"/>
          </w:tcPr>
          <w:p>
            <w:pPr>
              <w:rPr>
                <w:rFonts w:hint="eastAsia" w:ascii="宋体"/>
                <w:sz w:val="24"/>
                <w:szCs w:val="24"/>
              </w:rPr>
            </w:pPr>
          </w:p>
        </w:tc>
        <w:tc>
          <w:tcPr>
            <w:tcW w:w="1500" w:type="dxa"/>
            <w:vMerge w:val="continue"/>
            <w:tcBorders>
              <w:top w:val="nil"/>
              <w:left w:val="nil"/>
              <w:bottom w:val="nil"/>
              <w:right w:val="single" w:color="000000" w:sz="6" w:space="0"/>
            </w:tcBorders>
            <w:shd w:val="clear"/>
            <w:tcMar>
              <w:top w:w="15" w:type="dxa"/>
              <w:left w:w="15" w:type="dxa"/>
              <w:right w:w="15" w:type="dxa"/>
            </w:tcMar>
            <w:vAlign w:val="center"/>
          </w:tcPr>
          <w:p>
            <w:pPr>
              <w:rPr>
                <w:rFonts w:hint="eastAsia" w:ascii="宋体"/>
                <w:sz w:val="24"/>
                <w:szCs w:val="24"/>
              </w:rPr>
            </w:pPr>
          </w:p>
        </w:tc>
        <w:tc>
          <w:tcPr>
            <w:tcW w:w="495" w:type="dxa"/>
            <w:tcBorders>
              <w:top w:val="nil"/>
              <w:left w:val="nil"/>
              <w:bottom w:val="single" w:color="auto"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eastAsia" w:ascii="宋体" w:hAnsi="宋体" w:eastAsia="宋体" w:cs="宋体"/>
                <w:sz w:val="18"/>
                <w:szCs w:val="18"/>
                <w:bdr w:val="none" w:color="auto" w:sz="0" w:space="0"/>
              </w:rPr>
              <w:t>10</w:t>
            </w:r>
          </w:p>
        </w:tc>
        <w:tc>
          <w:tcPr>
            <w:tcW w:w="930" w:type="dxa"/>
            <w:tcBorders>
              <w:top w:val="nil"/>
              <w:left w:val="nil"/>
              <w:bottom w:val="single" w:color="auto"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8"/>
                <w:szCs w:val="18"/>
                <w:bdr w:val="none" w:color="auto" w:sz="0" w:space="0"/>
              </w:rPr>
              <w:t>数学2</w:t>
            </w:r>
          </w:p>
        </w:tc>
        <w:tc>
          <w:tcPr>
            <w:tcW w:w="5460" w:type="dxa"/>
            <w:tcBorders>
              <w:top w:val="nil"/>
              <w:left w:val="nil"/>
              <w:bottom w:val="single" w:color="auto"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rFonts w:hint="eastAsia" w:ascii="宋体" w:hAnsi="宋体" w:eastAsia="宋体" w:cs="宋体"/>
                <w:sz w:val="18"/>
                <w:szCs w:val="18"/>
                <w:bdr w:val="none" w:color="auto" w:sz="0" w:space="0"/>
              </w:rPr>
              <w:t>数学类；学科教学（数学）、小学教育专业</w:t>
            </w:r>
          </w:p>
        </w:tc>
        <w:tc>
          <w:tcPr>
            <w:tcW w:w="1320" w:type="dxa"/>
            <w:tcBorders>
              <w:top w:val="nil"/>
              <w:left w:val="nil"/>
              <w:bottom w:val="single" w:color="auto"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sz w:val="18"/>
                <w:szCs w:val="18"/>
                <w:bdr w:val="none" w:color="auto" w:sz="0" w:space="0"/>
              </w:rPr>
              <w:t>/</w:t>
            </w:r>
          </w:p>
        </w:tc>
      </w:tr>
      <w:tr>
        <w:tblPrEx>
          <w:tblCellMar>
            <w:top w:w="0" w:type="dxa"/>
            <w:left w:w="0" w:type="dxa"/>
            <w:bottom w:w="0" w:type="dxa"/>
            <w:right w:w="0" w:type="dxa"/>
          </w:tblCellMar>
        </w:tblPrEx>
        <w:trPr>
          <w:jc w:val="center"/>
        </w:trPr>
        <w:tc>
          <w:tcPr>
            <w:tcW w:w="465" w:type="dxa"/>
            <w:vMerge w:val="continue"/>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570" w:type="dxa"/>
            <w:vMerge w:val="continue"/>
            <w:tcBorders>
              <w:top w:val="nil"/>
              <w:left w:val="nil"/>
              <w:bottom w:val="nil"/>
              <w:right w:val="single" w:color="auto" w:sz="6" w:space="0"/>
            </w:tcBorders>
            <w:shd w:val="clear"/>
            <w:tcMar>
              <w:top w:w="15" w:type="dxa"/>
              <w:left w:w="15" w:type="dxa"/>
              <w:right w:w="15" w:type="dxa"/>
            </w:tcMar>
            <w:vAlign w:val="center"/>
          </w:tcPr>
          <w:p>
            <w:pPr>
              <w:rPr>
                <w:rFonts w:hint="eastAsia" w:ascii="宋体"/>
                <w:sz w:val="24"/>
                <w:szCs w:val="24"/>
              </w:rPr>
            </w:pPr>
          </w:p>
        </w:tc>
        <w:tc>
          <w:tcPr>
            <w:tcW w:w="1500" w:type="dxa"/>
            <w:vMerge w:val="continue"/>
            <w:tcBorders>
              <w:top w:val="nil"/>
              <w:left w:val="nil"/>
              <w:bottom w:val="nil"/>
              <w:right w:val="single" w:color="000000" w:sz="6" w:space="0"/>
            </w:tcBorders>
            <w:shd w:val="clear"/>
            <w:tcMar>
              <w:top w:w="15" w:type="dxa"/>
              <w:left w:w="15" w:type="dxa"/>
              <w:right w:w="15" w:type="dxa"/>
            </w:tcMar>
            <w:vAlign w:val="center"/>
          </w:tcPr>
          <w:p>
            <w:pPr>
              <w:rPr>
                <w:rFonts w:hint="eastAsia" w:ascii="宋体"/>
                <w:sz w:val="24"/>
                <w:szCs w:val="24"/>
              </w:rPr>
            </w:pPr>
          </w:p>
        </w:tc>
        <w:tc>
          <w:tcPr>
            <w:tcW w:w="495" w:type="dxa"/>
            <w:tcBorders>
              <w:top w:val="nil"/>
              <w:left w:val="nil"/>
              <w:bottom w:val="single" w:color="auto"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eastAsia" w:ascii="宋体" w:hAnsi="宋体" w:eastAsia="宋体" w:cs="宋体"/>
                <w:sz w:val="18"/>
                <w:szCs w:val="18"/>
                <w:bdr w:val="none" w:color="auto" w:sz="0" w:space="0"/>
              </w:rPr>
              <w:t>4</w:t>
            </w:r>
          </w:p>
        </w:tc>
        <w:tc>
          <w:tcPr>
            <w:tcW w:w="930" w:type="dxa"/>
            <w:tcBorders>
              <w:top w:val="nil"/>
              <w:left w:val="nil"/>
              <w:bottom w:val="single" w:color="auto"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8"/>
                <w:szCs w:val="18"/>
                <w:bdr w:val="none" w:color="auto" w:sz="0" w:space="0"/>
              </w:rPr>
              <w:t>英语</w:t>
            </w:r>
          </w:p>
        </w:tc>
        <w:tc>
          <w:tcPr>
            <w:tcW w:w="5460" w:type="dxa"/>
            <w:tcBorders>
              <w:top w:val="nil"/>
              <w:left w:val="nil"/>
              <w:bottom w:val="single" w:color="auto"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sz w:val="21"/>
                <w:szCs w:val="21"/>
              </w:rPr>
            </w:pPr>
            <w:r>
              <w:rPr>
                <w:rFonts w:hint="eastAsia" w:ascii="宋体" w:hAnsi="宋体" w:eastAsia="宋体" w:cs="宋体"/>
                <w:sz w:val="18"/>
                <w:szCs w:val="18"/>
                <w:bdr w:val="none" w:color="auto" w:sz="0" w:space="0"/>
              </w:rPr>
              <w:t>英语、商务英语、翻译（英语）、学科教学（英语）、小学教育专业</w:t>
            </w:r>
          </w:p>
        </w:tc>
        <w:tc>
          <w:tcPr>
            <w:tcW w:w="1320" w:type="dxa"/>
            <w:tcBorders>
              <w:top w:val="nil"/>
              <w:left w:val="nil"/>
              <w:bottom w:val="single" w:color="auto"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sz w:val="18"/>
                <w:szCs w:val="18"/>
                <w:bdr w:val="none" w:color="auto" w:sz="0" w:space="0"/>
              </w:rPr>
              <w:t>/</w:t>
            </w:r>
          </w:p>
        </w:tc>
      </w:tr>
      <w:tr>
        <w:tblPrEx>
          <w:tblCellMar>
            <w:top w:w="0" w:type="dxa"/>
            <w:left w:w="0" w:type="dxa"/>
            <w:bottom w:w="0" w:type="dxa"/>
            <w:right w:w="0" w:type="dxa"/>
          </w:tblCellMar>
        </w:tblPrEx>
        <w:trPr>
          <w:jc w:val="center"/>
        </w:trPr>
        <w:tc>
          <w:tcPr>
            <w:tcW w:w="465" w:type="dxa"/>
            <w:vMerge w:val="continue"/>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570" w:type="dxa"/>
            <w:vMerge w:val="continue"/>
            <w:tcBorders>
              <w:top w:val="nil"/>
              <w:left w:val="nil"/>
              <w:bottom w:val="nil"/>
              <w:right w:val="single" w:color="auto" w:sz="6" w:space="0"/>
            </w:tcBorders>
            <w:shd w:val="clear"/>
            <w:tcMar>
              <w:top w:w="15" w:type="dxa"/>
              <w:left w:w="15" w:type="dxa"/>
              <w:right w:w="15" w:type="dxa"/>
            </w:tcMar>
            <w:vAlign w:val="center"/>
          </w:tcPr>
          <w:p>
            <w:pPr>
              <w:rPr>
                <w:rFonts w:hint="eastAsia" w:ascii="宋体"/>
                <w:sz w:val="24"/>
                <w:szCs w:val="24"/>
              </w:rPr>
            </w:pPr>
          </w:p>
        </w:tc>
        <w:tc>
          <w:tcPr>
            <w:tcW w:w="1500" w:type="dxa"/>
            <w:vMerge w:val="continue"/>
            <w:tcBorders>
              <w:top w:val="nil"/>
              <w:left w:val="nil"/>
              <w:bottom w:val="nil"/>
              <w:right w:val="single" w:color="000000" w:sz="6" w:space="0"/>
            </w:tcBorders>
            <w:shd w:val="clear"/>
            <w:tcMar>
              <w:top w:w="15" w:type="dxa"/>
              <w:left w:w="15" w:type="dxa"/>
              <w:right w:w="15" w:type="dxa"/>
            </w:tcMar>
            <w:vAlign w:val="center"/>
          </w:tcPr>
          <w:p>
            <w:pPr>
              <w:rPr>
                <w:rFonts w:hint="eastAsia" w:ascii="宋体"/>
                <w:sz w:val="24"/>
                <w:szCs w:val="24"/>
              </w:rPr>
            </w:pPr>
          </w:p>
        </w:tc>
        <w:tc>
          <w:tcPr>
            <w:tcW w:w="495"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eastAsia" w:ascii="宋体" w:hAnsi="宋体" w:eastAsia="宋体" w:cs="宋体"/>
                <w:sz w:val="18"/>
                <w:szCs w:val="18"/>
                <w:bdr w:val="none" w:color="auto" w:sz="0" w:space="0"/>
              </w:rPr>
              <w:t>2</w:t>
            </w:r>
          </w:p>
        </w:tc>
        <w:tc>
          <w:tcPr>
            <w:tcW w:w="930"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8"/>
                <w:szCs w:val="18"/>
                <w:bdr w:val="none" w:color="auto" w:sz="0" w:space="0"/>
              </w:rPr>
              <w:t>科学</w:t>
            </w:r>
          </w:p>
        </w:tc>
        <w:tc>
          <w:tcPr>
            <w:tcW w:w="5460" w:type="dxa"/>
            <w:tcBorders>
              <w:top w:val="nil"/>
              <w:left w:val="nil"/>
              <w:bottom w:val="single" w:color="auto"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sz w:val="21"/>
                <w:szCs w:val="21"/>
              </w:rPr>
            </w:pPr>
            <w:r>
              <w:rPr>
                <w:rFonts w:hint="eastAsia" w:ascii="宋体" w:hAnsi="宋体" w:eastAsia="宋体" w:cs="宋体"/>
                <w:sz w:val="18"/>
                <w:szCs w:val="18"/>
                <w:bdr w:val="none" w:color="auto" w:sz="0" w:space="0"/>
              </w:rPr>
              <w:t>物理学、化学、地理科学、生物科学、科学教育、小学教育、学科教学（物理）、学科教学（化学）、学科教学（地理）、学科教学（生物）专业</w:t>
            </w:r>
          </w:p>
        </w:tc>
        <w:tc>
          <w:tcPr>
            <w:tcW w:w="1320"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sz w:val="18"/>
                <w:szCs w:val="18"/>
                <w:bdr w:val="none" w:color="auto" w:sz="0" w:space="0"/>
              </w:rPr>
              <w:t>/</w:t>
            </w:r>
          </w:p>
        </w:tc>
      </w:tr>
      <w:tr>
        <w:tblPrEx>
          <w:tblCellMar>
            <w:top w:w="0" w:type="dxa"/>
            <w:left w:w="0" w:type="dxa"/>
            <w:bottom w:w="0" w:type="dxa"/>
            <w:right w:w="0" w:type="dxa"/>
          </w:tblCellMar>
        </w:tblPrEx>
        <w:trPr>
          <w:trHeight w:val="360" w:hRule="atLeast"/>
          <w:jc w:val="center"/>
        </w:trPr>
        <w:tc>
          <w:tcPr>
            <w:tcW w:w="465" w:type="dxa"/>
            <w:vMerge w:val="continue"/>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570" w:type="dxa"/>
            <w:vMerge w:val="continue"/>
            <w:tcBorders>
              <w:top w:val="nil"/>
              <w:left w:val="nil"/>
              <w:bottom w:val="nil"/>
              <w:right w:val="single" w:color="auto" w:sz="6" w:space="0"/>
            </w:tcBorders>
            <w:shd w:val="clear"/>
            <w:tcMar>
              <w:top w:w="15" w:type="dxa"/>
              <w:left w:w="15" w:type="dxa"/>
              <w:right w:w="15" w:type="dxa"/>
            </w:tcMar>
            <w:vAlign w:val="center"/>
          </w:tcPr>
          <w:p>
            <w:pPr>
              <w:rPr>
                <w:rFonts w:hint="eastAsia" w:ascii="宋体"/>
                <w:sz w:val="24"/>
                <w:szCs w:val="24"/>
              </w:rPr>
            </w:pPr>
          </w:p>
        </w:tc>
        <w:tc>
          <w:tcPr>
            <w:tcW w:w="1500" w:type="dxa"/>
            <w:vMerge w:val="continue"/>
            <w:tcBorders>
              <w:top w:val="nil"/>
              <w:left w:val="nil"/>
              <w:bottom w:val="nil"/>
              <w:right w:val="single" w:color="000000" w:sz="6" w:space="0"/>
            </w:tcBorders>
            <w:shd w:val="clear"/>
            <w:tcMar>
              <w:top w:w="15" w:type="dxa"/>
              <w:left w:w="15" w:type="dxa"/>
              <w:right w:w="15" w:type="dxa"/>
            </w:tcMar>
            <w:vAlign w:val="center"/>
          </w:tcPr>
          <w:p>
            <w:pPr>
              <w:rPr>
                <w:rFonts w:hint="eastAsia" w:ascii="宋体"/>
                <w:sz w:val="24"/>
                <w:szCs w:val="24"/>
              </w:rPr>
            </w:pPr>
          </w:p>
        </w:tc>
        <w:tc>
          <w:tcPr>
            <w:tcW w:w="495"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eastAsia" w:ascii="宋体" w:hAnsi="宋体" w:eastAsia="宋体" w:cs="宋体"/>
                <w:sz w:val="18"/>
                <w:szCs w:val="18"/>
                <w:bdr w:val="none" w:color="auto" w:sz="0" w:space="0"/>
              </w:rPr>
              <w:t>4</w:t>
            </w:r>
          </w:p>
        </w:tc>
        <w:tc>
          <w:tcPr>
            <w:tcW w:w="930"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8"/>
                <w:szCs w:val="18"/>
                <w:bdr w:val="none" w:color="auto" w:sz="0" w:space="0"/>
              </w:rPr>
              <w:t>音乐</w:t>
            </w:r>
          </w:p>
        </w:tc>
        <w:tc>
          <w:tcPr>
            <w:tcW w:w="5460" w:type="dxa"/>
            <w:tcBorders>
              <w:top w:val="nil"/>
              <w:left w:val="nil"/>
              <w:bottom w:val="single" w:color="000000"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sz w:val="21"/>
                <w:szCs w:val="21"/>
              </w:rPr>
            </w:pPr>
            <w:r>
              <w:rPr>
                <w:rFonts w:hint="eastAsia" w:ascii="宋体" w:hAnsi="宋体" w:eastAsia="宋体" w:cs="宋体"/>
                <w:sz w:val="18"/>
                <w:szCs w:val="18"/>
                <w:bdr w:val="none" w:color="auto" w:sz="0" w:space="0"/>
              </w:rPr>
              <w:t>音乐与舞蹈学类；艺术教育、小学教育、学科教学（音乐）专业</w:t>
            </w:r>
          </w:p>
        </w:tc>
        <w:tc>
          <w:tcPr>
            <w:tcW w:w="1320"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sz w:val="18"/>
                <w:szCs w:val="18"/>
                <w:bdr w:val="none" w:color="auto" w:sz="0" w:space="0"/>
              </w:rPr>
              <w:t>/</w:t>
            </w:r>
          </w:p>
        </w:tc>
      </w:tr>
      <w:tr>
        <w:tblPrEx>
          <w:tblCellMar>
            <w:top w:w="0" w:type="dxa"/>
            <w:left w:w="0" w:type="dxa"/>
            <w:bottom w:w="0" w:type="dxa"/>
            <w:right w:w="0" w:type="dxa"/>
          </w:tblCellMar>
        </w:tblPrEx>
        <w:trPr>
          <w:trHeight w:val="330" w:hRule="atLeast"/>
          <w:jc w:val="center"/>
        </w:trPr>
        <w:tc>
          <w:tcPr>
            <w:tcW w:w="465" w:type="dxa"/>
            <w:vMerge w:val="continue"/>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570" w:type="dxa"/>
            <w:vMerge w:val="continue"/>
            <w:tcBorders>
              <w:top w:val="nil"/>
              <w:left w:val="nil"/>
              <w:bottom w:val="nil"/>
              <w:right w:val="single" w:color="auto" w:sz="6" w:space="0"/>
            </w:tcBorders>
            <w:shd w:val="clear"/>
            <w:tcMar>
              <w:top w:w="15" w:type="dxa"/>
              <w:left w:w="15" w:type="dxa"/>
              <w:right w:w="15" w:type="dxa"/>
            </w:tcMar>
            <w:vAlign w:val="center"/>
          </w:tcPr>
          <w:p>
            <w:pPr>
              <w:rPr>
                <w:rFonts w:hint="eastAsia" w:ascii="宋体"/>
                <w:sz w:val="24"/>
                <w:szCs w:val="24"/>
              </w:rPr>
            </w:pPr>
          </w:p>
        </w:tc>
        <w:tc>
          <w:tcPr>
            <w:tcW w:w="1500" w:type="dxa"/>
            <w:vMerge w:val="continue"/>
            <w:tcBorders>
              <w:top w:val="nil"/>
              <w:left w:val="nil"/>
              <w:bottom w:val="nil"/>
              <w:right w:val="single" w:color="000000" w:sz="6" w:space="0"/>
            </w:tcBorders>
            <w:shd w:val="clear"/>
            <w:tcMar>
              <w:top w:w="15" w:type="dxa"/>
              <w:left w:w="15" w:type="dxa"/>
              <w:right w:w="15" w:type="dxa"/>
            </w:tcMar>
            <w:vAlign w:val="center"/>
          </w:tcPr>
          <w:p>
            <w:pPr>
              <w:rPr>
                <w:rFonts w:hint="eastAsia" w:ascii="宋体"/>
                <w:sz w:val="24"/>
                <w:szCs w:val="24"/>
              </w:rPr>
            </w:pPr>
          </w:p>
        </w:tc>
        <w:tc>
          <w:tcPr>
            <w:tcW w:w="495"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eastAsia" w:ascii="宋体" w:hAnsi="宋体" w:eastAsia="宋体" w:cs="宋体"/>
                <w:sz w:val="18"/>
                <w:szCs w:val="18"/>
                <w:bdr w:val="none" w:color="auto" w:sz="0" w:space="0"/>
              </w:rPr>
              <w:t>4</w:t>
            </w:r>
          </w:p>
        </w:tc>
        <w:tc>
          <w:tcPr>
            <w:tcW w:w="930"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8"/>
                <w:szCs w:val="18"/>
                <w:bdr w:val="none" w:color="auto" w:sz="0" w:space="0"/>
              </w:rPr>
              <w:t>体育</w:t>
            </w:r>
          </w:p>
        </w:tc>
        <w:tc>
          <w:tcPr>
            <w:tcW w:w="5460" w:type="dxa"/>
            <w:tcBorders>
              <w:top w:val="nil"/>
              <w:left w:val="nil"/>
              <w:bottom w:val="single" w:color="000000"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sz w:val="21"/>
                <w:szCs w:val="21"/>
              </w:rPr>
            </w:pPr>
            <w:r>
              <w:rPr>
                <w:rFonts w:hint="eastAsia" w:ascii="宋体" w:hAnsi="宋体" w:eastAsia="宋体" w:cs="宋体"/>
                <w:sz w:val="18"/>
                <w:szCs w:val="18"/>
                <w:bdr w:val="none" w:color="auto" w:sz="0" w:space="0"/>
              </w:rPr>
              <w:t>体育学类；小学教育、学科教学（体育）专业</w:t>
            </w:r>
          </w:p>
        </w:tc>
        <w:tc>
          <w:tcPr>
            <w:tcW w:w="1320"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sz w:val="18"/>
                <w:szCs w:val="18"/>
                <w:bdr w:val="none" w:color="auto" w:sz="0" w:space="0"/>
              </w:rPr>
              <w:t>/</w:t>
            </w:r>
          </w:p>
        </w:tc>
      </w:tr>
      <w:tr>
        <w:tblPrEx>
          <w:tblCellMar>
            <w:top w:w="0" w:type="dxa"/>
            <w:left w:w="0" w:type="dxa"/>
            <w:bottom w:w="0" w:type="dxa"/>
            <w:right w:w="0" w:type="dxa"/>
          </w:tblCellMar>
        </w:tblPrEx>
        <w:trPr>
          <w:trHeight w:val="375" w:hRule="atLeast"/>
          <w:jc w:val="center"/>
        </w:trPr>
        <w:tc>
          <w:tcPr>
            <w:tcW w:w="465" w:type="dxa"/>
            <w:vMerge w:val="continue"/>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570" w:type="dxa"/>
            <w:vMerge w:val="continue"/>
            <w:tcBorders>
              <w:top w:val="nil"/>
              <w:left w:val="nil"/>
              <w:bottom w:val="nil"/>
              <w:right w:val="single" w:color="auto" w:sz="6" w:space="0"/>
            </w:tcBorders>
            <w:shd w:val="clear"/>
            <w:tcMar>
              <w:top w:w="15" w:type="dxa"/>
              <w:left w:w="15" w:type="dxa"/>
              <w:right w:w="15" w:type="dxa"/>
            </w:tcMar>
            <w:vAlign w:val="center"/>
          </w:tcPr>
          <w:p>
            <w:pPr>
              <w:rPr>
                <w:rFonts w:hint="eastAsia" w:ascii="宋体"/>
                <w:sz w:val="24"/>
                <w:szCs w:val="24"/>
              </w:rPr>
            </w:pPr>
          </w:p>
        </w:tc>
        <w:tc>
          <w:tcPr>
            <w:tcW w:w="1500" w:type="dxa"/>
            <w:vMerge w:val="continue"/>
            <w:tcBorders>
              <w:top w:val="nil"/>
              <w:left w:val="nil"/>
              <w:bottom w:val="nil"/>
              <w:right w:val="single" w:color="000000" w:sz="6" w:space="0"/>
            </w:tcBorders>
            <w:shd w:val="clear"/>
            <w:tcMar>
              <w:top w:w="15" w:type="dxa"/>
              <w:left w:w="15" w:type="dxa"/>
              <w:right w:w="15" w:type="dxa"/>
            </w:tcMar>
            <w:vAlign w:val="center"/>
          </w:tcPr>
          <w:p>
            <w:pPr>
              <w:rPr>
                <w:rFonts w:hint="eastAsia" w:ascii="宋体"/>
                <w:sz w:val="24"/>
                <w:szCs w:val="24"/>
              </w:rPr>
            </w:pPr>
          </w:p>
        </w:tc>
        <w:tc>
          <w:tcPr>
            <w:tcW w:w="495" w:type="dxa"/>
            <w:tcBorders>
              <w:top w:val="nil"/>
              <w:left w:val="nil"/>
              <w:bottom w:val="single" w:color="auto"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8"/>
                <w:szCs w:val="18"/>
                <w:bdr w:val="none" w:color="auto" w:sz="0" w:space="0"/>
              </w:rPr>
              <w:t>4</w:t>
            </w:r>
          </w:p>
        </w:tc>
        <w:tc>
          <w:tcPr>
            <w:tcW w:w="930" w:type="dxa"/>
            <w:tcBorders>
              <w:top w:val="nil"/>
              <w:left w:val="nil"/>
              <w:bottom w:val="single" w:color="auto"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8"/>
                <w:szCs w:val="18"/>
                <w:bdr w:val="none" w:color="auto" w:sz="0" w:space="0"/>
              </w:rPr>
              <w:t>美术</w:t>
            </w:r>
          </w:p>
        </w:tc>
        <w:tc>
          <w:tcPr>
            <w:tcW w:w="5460" w:type="dxa"/>
            <w:tcBorders>
              <w:top w:val="nil"/>
              <w:left w:val="nil"/>
              <w:bottom w:val="single" w:color="auto"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sz w:val="21"/>
                <w:szCs w:val="21"/>
              </w:rPr>
            </w:pPr>
            <w:r>
              <w:rPr>
                <w:rFonts w:hint="eastAsia" w:ascii="宋体" w:hAnsi="宋体" w:eastAsia="宋体" w:cs="宋体"/>
                <w:sz w:val="18"/>
                <w:szCs w:val="18"/>
                <w:bdr w:val="none" w:color="auto" w:sz="0" w:space="0"/>
              </w:rPr>
              <w:t>美术学类；艺术教育、小学教育、学科教学（美术）专业</w:t>
            </w:r>
          </w:p>
        </w:tc>
        <w:tc>
          <w:tcPr>
            <w:tcW w:w="1320" w:type="dxa"/>
            <w:tcBorders>
              <w:top w:val="nil"/>
              <w:left w:val="nil"/>
              <w:bottom w:val="single" w:color="auto"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sz w:val="18"/>
                <w:szCs w:val="18"/>
                <w:bdr w:val="none" w:color="auto" w:sz="0" w:space="0"/>
              </w:rPr>
              <w:t>/</w:t>
            </w:r>
          </w:p>
        </w:tc>
      </w:tr>
      <w:tr>
        <w:tblPrEx>
          <w:tblCellMar>
            <w:top w:w="0" w:type="dxa"/>
            <w:left w:w="0" w:type="dxa"/>
            <w:bottom w:w="0" w:type="dxa"/>
            <w:right w:w="0" w:type="dxa"/>
          </w:tblCellMar>
        </w:tblPrEx>
        <w:trPr>
          <w:trHeight w:val="301" w:hRule="atLeast"/>
          <w:jc w:val="center"/>
        </w:trPr>
        <w:tc>
          <w:tcPr>
            <w:tcW w:w="465" w:type="dxa"/>
            <w:vMerge w:val="continue"/>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570" w:type="dxa"/>
            <w:vMerge w:val="restart"/>
            <w:tcBorders>
              <w:top w:val="single" w:color="auto" w:sz="6" w:space="0"/>
              <w:left w:val="nil"/>
              <w:bottom w:val="nil"/>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sz w:val="18"/>
                <w:szCs w:val="18"/>
                <w:bdr w:val="none" w:color="auto" w:sz="0" w:space="0"/>
              </w:rPr>
              <w:t>特殊教育</w:t>
            </w:r>
          </w:p>
        </w:tc>
        <w:tc>
          <w:tcPr>
            <w:tcW w:w="1500" w:type="dxa"/>
            <w:vMerge w:val="restart"/>
            <w:tcBorders>
              <w:top w:val="single" w:color="auto" w:sz="6" w:space="0"/>
              <w:left w:val="nil"/>
              <w:bottom w:val="single" w:color="auto"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sz w:val="18"/>
                <w:szCs w:val="18"/>
                <w:bdr w:val="none" w:color="auto" w:sz="0" w:space="0"/>
              </w:rPr>
              <w:t>平湖市培智学校（含卫星班）</w:t>
            </w:r>
          </w:p>
        </w:tc>
        <w:tc>
          <w:tcPr>
            <w:tcW w:w="495"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8"/>
                <w:szCs w:val="18"/>
                <w:bdr w:val="none" w:color="auto" w:sz="0" w:space="0"/>
              </w:rPr>
              <w:t>3</w:t>
            </w:r>
          </w:p>
        </w:tc>
        <w:tc>
          <w:tcPr>
            <w:tcW w:w="930" w:type="dxa"/>
            <w:tcBorders>
              <w:top w:val="nil"/>
              <w:left w:val="nil"/>
              <w:bottom w:val="single" w:color="auto"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8"/>
                <w:szCs w:val="18"/>
                <w:bdr w:val="none" w:color="auto" w:sz="0" w:space="0"/>
              </w:rPr>
              <w:t>特殊教育1</w:t>
            </w:r>
          </w:p>
        </w:tc>
        <w:tc>
          <w:tcPr>
            <w:tcW w:w="5460" w:type="dxa"/>
            <w:tcBorders>
              <w:top w:val="nil"/>
              <w:left w:val="nil"/>
              <w:bottom w:val="single" w:color="auto"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1"/>
                <w:szCs w:val="21"/>
              </w:rPr>
            </w:pPr>
            <w:r>
              <w:rPr>
                <w:rFonts w:hint="eastAsia" w:ascii="宋体" w:hAnsi="宋体" w:eastAsia="宋体" w:cs="宋体"/>
                <w:sz w:val="18"/>
                <w:szCs w:val="18"/>
                <w:bdr w:val="none" w:color="auto" w:sz="0" w:space="0"/>
              </w:rPr>
              <w:t>特殊教育专业</w:t>
            </w:r>
          </w:p>
        </w:tc>
        <w:tc>
          <w:tcPr>
            <w:tcW w:w="1320" w:type="dxa"/>
            <w:tcBorders>
              <w:top w:val="nil"/>
              <w:left w:val="nil"/>
              <w:bottom w:val="single" w:color="000000"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sz w:val="18"/>
                <w:szCs w:val="18"/>
                <w:bdr w:val="none" w:color="auto" w:sz="0" w:space="0"/>
              </w:rPr>
              <w:t>/</w:t>
            </w:r>
          </w:p>
        </w:tc>
      </w:tr>
      <w:tr>
        <w:tblPrEx>
          <w:tblCellMar>
            <w:top w:w="0" w:type="dxa"/>
            <w:left w:w="0" w:type="dxa"/>
            <w:bottom w:w="0" w:type="dxa"/>
            <w:right w:w="0" w:type="dxa"/>
          </w:tblCellMar>
        </w:tblPrEx>
        <w:trPr>
          <w:trHeight w:val="271" w:hRule="atLeast"/>
          <w:jc w:val="center"/>
        </w:trPr>
        <w:tc>
          <w:tcPr>
            <w:tcW w:w="465" w:type="dxa"/>
            <w:vMerge w:val="continue"/>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570" w:type="dxa"/>
            <w:vMerge w:val="continue"/>
            <w:tcBorders>
              <w:top w:val="single" w:color="auto" w:sz="6" w:space="0"/>
              <w:left w:val="nil"/>
              <w:bottom w:val="nil"/>
              <w:right w:val="single" w:color="000000" w:sz="6" w:space="0"/>
            </w:tcBorders>
            <w:shd w:val="clear"/>
            <w:tcMar>
              <w:top w:w="15" w:type="dxa"/>
              <w:left w:w="15" w:type="dxa"/>
              <w:right w:w="15" w:type="dxa"/>
            </w:tcMar>
            <w:vAlign w:val="center"/>
          </w:tcPr>
          <w:p>
            <w:pPr>
              <w:rPr>
                <w:rFonts w:hint="eastAsia" w:ascii="宋体"/>
                <w:sz w:val="24"/>
                <w:szCs w:val="24"/>
              </w:rPr>
            </w:pPr>
          </w:p>
        </w:tc>
        <w:tc>
          <w:tcPr>
            <w:tcW w:w="1500" w:type="dxa"/>
            <w:vMerge w:val="continue"/>
            <w:tcBorders>
              <w:top w:val="single" w:color="auto" w:sz="6" w:space="0"/>
              <w:left w:val="nil"/>
              <w:bottom w:val="single" w:color="auto" w:sz="6" w:space="0"/>
              <w:right w:val="single" w:color="000000" w:sz="6" w:space="0"/>
            </w:tcBorders>
            <w:shd w:val="clear"/>
            <w:tcMar>
              <w:top w:w="15" w:type="dxa"/>
              <w:left w:w="15" w:type="dxa"/>
              <w:right w:w="15" w:type="dxa"/>
            </w:tcMar>
            <w:vAlign w:val="center"/>
          </w:tcPr>
          <w:p>
            <w:pPr>
              <w:rPr>
                <w:rFonts w:hint="eastAsia" w:ascii="宋体"/>
                <w:sz w:val="24"/>
                <w:szCs w:val="24"/>
              </w:rPr>
            </w:pPr>
          </w:p>
        </w:tc>
        <w:tc>
          <w:tcPr>
            <w:tcW w:w="495"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eastAsia" w:ascii="宋体" w:hAnsi="宋体" w:eastAsia="宋体" w:cs="宋体"/>
                <w:sz w:val="18"/>
                <w:szCs w:val="18"/>
                <w:bdr w:val="none" w:color="auto" w:sz="0" w:space="0"/>
              </w:rPr>
              <w:t>1</w:t>
            </w:r>
          </w:p>
        </w:tc>
        <w:tc>
          <w:tcPr>
            <w:tcW w:w="930" w:type="dxa"/>
            <w:tcBorders>
              <w:top w:val="nil"/>
              <w:left w:val="nil"/>
              <w:bottom w:val="single" w:color="000000"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8"/>
                <w:szCs w:val="18"/>
                <w:bdr w:val="none" w:color="auto" w:sz="0" w:space="0"/>
              </w:rPr>
              <w:t>特殊教育2</w:t>
            </w:r>
          </w:p>
        </w:tc>
        <w:tc>
          <w:tcPr>
            <w:tcW w:w="5460" w:type="dxa"/>
            <w:tcBorders>
              <w:top w:val="nil"/>
              <w:left w:val="nil"/>
              <w:bottom w:val="single" w:color="auto"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宋体" w:hAnsi="宋体" w:eastAsia="宋体" w:cs="宋体"/>
                <w:sz w:val="18"/>
                <w:szCs w:val="18"/>
                <w:bdr w:val="none" w:color="auto" w:sz="0" w:space="0"/>
              </w:rPr>
              <w:t>特教教育专业</w:t>
            </w:r>
          </w:p>
        </w:tc>
        <w:tc>
          <w:tcPr>
            <w:tcW w:w="1320" w:type="dxa"/>
            <w:tcBorders>
              <w:top w:val="nil"/>
              <w:left w:val="nil"/>
              <w:bottom w:val="single" w:color="000000"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sz w:val="18"/>
                <w:szCs w:val="18"/>
                <w:bdr w:val="none" w:color="auto" w:sz="0" w:space="0"/>
              </w:rPr>
              <w:t>美术方向</w:t>
            </w:r>
          </w:p>
        </w:tc>
      </w:tr>
      <w:tr>
        <w:tblPrEx>
          <w:tblCellMar>
            <w:top w:w="0" w:type="dxa"/>
            <w:left w:w="0" w:type="dxa"/>
            <w:bottom w:w="0" w:type="dxa"/>
            <w:right w:w="0" w:type="dxa"/>
          </w:tblCellMar>
        </w:tblPrEx>
        <w:trPr>
          <w:trHeight w:val="405" w:hRule="atLeast"/>
          <w:jc w:val="center"/>
        </w:trPr>
        <w:tc>
          <w:tcPr>
            <w:tcW w:w="465" w:type="dxa"/>
            <w:vMerge w:val="continue"/>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570" w:type="dxa"/>
            <w:vMerge w:val="restart"/>
            <w:tcBorders>
              <w:top w:val="single" w:color="auto" w:sz="6" w:space="0"/>
              <w:left w:val="nil"/>
              <w:bottom w:val="single" w:color="auto"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8"/>
                <w:szCs w:val="18"/>
                <w:bdr w:val="none" w:color="auto" w:sz="0" w:space="0"/>
              </w:rPr>
              <w:t>幼儿园</w:t>
            </w:r>
          </w:p>
        </w:tc>
        <w:tc>
          <w:tcPr>
            <w:tcW w:w="1500" w:type="dxa"/>
            <w:tcBorders>
              <w:top w:val="nil"/>
              <w:left w:val="nil"/>
              <w:bottom w:val="single" w:color="auto"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sz w:val="18"/>
                <w:szCs w:val="18"/>
                <w:bdr w:val="none" w:color="auto" w:sz="0" w:space="0"/>
              </w:rPr>
              <w:t>面向平湖城区幼儿园统配</w:t>
            </w:r>
          </w:p>
        </w:tc>
        <w:tc>
          <w:tcPr>
            <w:tcW w:w="495"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eastAsia" w:ascii="宋体" w:hAnsi="宋体" w:eastAsia="宋体" w:cs="宋体"/>
                <w:sz w:val="18"/>
                <w:szCs w:val="18"/>
                <w:bdr w:val="none" w:color="auto" w:sz="0" w:space="0"/>
              </w:rPr>
              <w:t>3</w:t>
            </w:r>
          </w:p>
        </w:tc>
        <w:tc>
          <w:tcPr>
            <w:tcW w:w="930" w:type="dxa"/>
            <w:tcBorders>
              <w:top w:val="nil"/>
              <w:left w:val="nil"/>
              <w:bottom w:val="single" w:color="000000"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8"/>
                <w:szCs w:val="18"/>
                <w:bdr w:val="none" w:color="auto" w:sz="0" w:space="0"/>
              </w:rPr>
              <w:t>学前教育</w:t>
            </w:r>
          </w:p>
        </w:tc>
        <w:tc>
          <w:tcPr>
            <w:tcW w:w="5460" w:type="dxa"/>
            <w:tcBorders>
              <w:top w:val="nil"/>
              <w:left w:val="nil"/>
              <w:bottom w:val="single" w:color="auto"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宋体" w:hAnsi="宋体" w:eastAsia="宋体" w:cs="宋体"/>
                <w:sz w:val="18"/>
                <w:szCs w:val="18"/>
                <w:bdr w:val="none" w:color="auto" w:sz="0" w:space="0"/>
              </w:rPr>
              <w:t>学前教育专业</w:t>
            </w:r>
          </w:p>
        </w:tc>
        <w:tc>
          <w:tcPr>
            <w:tcW w:w="1320" w:type="dxa"/>
            <w:tcBorders>
              <w:top w:val="nil"/>
              <w:left w:val="nil"/>
              <w:bottom w:val="single" w:color="000000"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sz w:val="18"/>
                <w:szCs w:val="18"/>
                <w:bdr w:val="none" w:color="auto" w:sz="0" w:space="0"/>
              </w:rPr>
              <w:t>/</w:t>
            </w:r>
          </w:p>
        </w:tc>
      </w:tr>
      <w:tr>
        <w:tblPrEx>
          <w:tblCellMar>
            <w:top w:w="0" w:type="dxa"/>
            <w:left w:w="0" w:type="dxa"/>
            <w:bottom w:w="0" w:type="dxa"/>
            <w:right w:w="0" w:type="dxa"/>
          </w:tblCellMar>
        </w:tblPrEx>
        <w:trPr>
          <w:trHeight w:val="360" w:hRule="atLeast"/>
          <w:jc w:val="center"/>
        </w:trPr>
        <w:tc>
          <w:tcPr>
            <w:tcW w:w="465" w:type="dxa"/>
            <w:vMerge w:val="continue"/>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570" w:type="dxa"/>
            <w:vMerge w:val="continue"/>
            <w:tcBorders>
              <w:top w:val="single" w:color="auto" w:sz="6" w:space="0"/>
              <w:left w:val="nil"/>
              <w:bottom w:val="single" w:color="auto" w:sz="6" w:space="0"/>
              <w:right w:val="single" w:color="000000" w:sz="6" w:space="0"/>
            </w:tcBorders>
            <w:shd w:val="clear"/>
            <w:tcMar>
              <w:top w:w="15" w:type="dxa"/>
              <w:left w:w="15" w:type="dxa"/>
              <w:right w:w="15" w:type="dxa"/>
            </w:tcMar>
            <w:vAlign w:val="center"/>
          </w:tcPr>
          <w:p>
            <w:pPr>
              <w:rPr>
                <w:rFonts w:hint="eastAsia" w:ascii="宋体"/>
                <w:sz w:val="24"/>
                <w:szCs w:val="24"/>
              </w:rPr>
            </w:pPr>
          </w:p>
        </w:tc>
        <w:tc>
          <w:tcPr>
            <w:tcW w:w="1500" w:type="dxa"/>
            <w:tcBorders>
              <w:top w:val="nil"/>
              <w:left w:val="nil"/>
              <w:bottom w:val="single" w:color="auto"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sz w:val="18"/>
                <w:szCs w:val="18"/>
                <w:bdr w:val="none" w:color="auto" w:sz="0" w:space="0"/>
              </w:rPr>
              <w:t>面向镇（街道）幼儿园统配</w:t>
            </w:r>
          </w:p>
        </w:tc>
        <w:tc>
          <w:tcPr>
            <w:tcW w:w="495" w:type="dxa"/>
            <w:tcBorders>
              <w:top w:val="nil"/>
              <w:left w:val="nil"/>
              <w:bottom w:val="single" w:color="auto"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eastAsia" w:ascii="宋体" w:hAnsi="宋体" w:eastAsia="宋体" w:cs="宋体"/>
                <w:sz w:val="18"/>
                <w:szCs w:val="18"/>
                <w:bdr w:val="none" w:color="auto" w:sz="0" w:space="0"/>
              </w:rPr>
              <w:t>1</w:t>
            </w:r>
          </w:p>
        </w:tc>
        <w:tc>
          <w:tcPr>
            <w:tcW w:w="930" w:type="dxa"/>
            <w:tcBorders>
              <w:top w:val="nil"/>
              <w:left w:val="nil"/>
              <w:bottom w:val="single" w:color="auto"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8"/>
                <w:szCs w:val="18"/>
                <w:bdr w:val="none" w:color="auto" w:sz="0" w:space="0"/>
              </w:rPr>
              <w:t>学前教育</w:t>
            </w:r>
          </w:p>
        </w:tc>
        <w:tc>
          <w:tcPr>
            <w:tcW w:w="5460" w:type="dxa"/>
            <w:tcBorders>
              <w:top w:val="nil"/>
              <w:left w:val="nil"/>
              <w:bottom w:val="single" w:color="auto"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宋体" w:hAnsi="宋体" w:eastAsia="宋体" w:cs="宋体"/>
                <w:sz w:val="18"/>
                <w:szCs w:val="18"/>
                <w:bdr w:val="none" w:color="auto" w:sz="0" w:space="0"/>
              </w:rPr>
              <w:t>学前教育专业</w:t>
            </w:r>
          </w:p>
        </w:tc>
        <w:tc>
          <w:tcPr>
            <w:tcW w:w="1320" w:type="dxa"/>
            <w:tcBorders>
              <w:top w:val="nil"/>
              <w:left w:val="nil"/>
              <w:bottom w:val="nil"/>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sz w:val="18"/>
                <w:szCs w:val="18"/>
                <w:bdr w:val="none" w:color="auto" w:sz="0" w:space="0"/>
              </w:rPr>
              <w:t>/</w:t>
            </w:r>
          </w:p>
        </w:tc>
      </w:tr>
      <w:tr>
        <w:tblPrEx>
          <w:tblCellMar>
            <w:top w:w="0" w:type="dxa"/>
            <w:left w:w="0" w:type="dxa"/>
            <w:bottom w:w="0" w:type="dxa"/>
            <w:right w:w="0" w:type="dxa"/>
          </w:tblCellMar>
        </w:tblPrEx>
        <w:trPr>
          <w:trHeight w:val="330" w:hRule="atLeast"/>
          <w:jc w:val="center"/>
        </w:trPr>
        <w:tc>
          <w:tcPr>
            <w:tcW w:w="465" w:type="dxa"/>
            <w:vMerge w:val="restart"/>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sz w:val="18"/>
                <w:szCs w:val="18"/>
                <w:bdr w:val="none" w:color="auto" w:sz="0" w:space="0"/>
              </w:rPr>
              <w:t>专业课</w:t>
            </w:r>
          </w:p>
        </w:tc>
        <w:tc>
          <w:tcPr>
            <w:tcW w:w="570" w:type="dxa"/>
            <w:vMerge w:val="restart"/>
            <w:tcBorders>
              <w:top w:val="nil"/>
              <w:left w:val="nil"/>
              <w:bottom w:val="single" w:color="auto"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sz w:val="18"/>
                <w:szCs w:val="18"/>
                <w:bdr w:val="none" w:color="auto" w:sz="0" w:space="0"/>
              </w:rPr>
              <w:t>职业类</w:t>
            </w:r>
          </w:p>
        </w:tc>
        <w:tc>
          <w:tcPr>
            <w:tcW w:w="1500" w:type="dxa"/>
            <w:vMerge w:val="restart"/>
            <w:tcBorders>
              <w:top w:val="nil"/>
              <w:left w:val="nil"/>
              <w:bottom w:val="single" w:color="auto"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sz w:val="18"/>
                <w:szCs w:val="18"/>
                <w:bdr w:val="none" w:color="auto" w:sz="0" w:space="0"/>
              </w:rPr>
              <w:t>平湖市职业中等专业学校</w:t>
            </w:r>
          </w:p>
        </w:tc>
        <w:tc>
          <w:tcPr>
            <w:tcW w:w="495" w:type="dxa"/>
            <w:tcBorders>
              <w:top w:val="nil"/>
              <w:left w:val="nil"/>
              <w:bottom w:val="single" w:color="auto"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eastAsia" w:ascii="宋体" w:hAnsi="宋体" w:eastAsia="宋体" w:cs="宋体"/>
                <w:sz w:val="18"/>
                <w:szCs w:val="18"/>
                <w:bdr w:val="none" w:color="auto" w:sz="0" w:space="0"/>
              </w:rPr>
              <w:t>1</w:t>
            </w:r>
          </w:p>
        </w:tc>
        <w:tc>
          <w:tcPr>
            <w:tcW w:w="930" w:type="dxa"/>
            <w:tcBorders>
              <w:top w:val="nil"/>
              <w:left w:val="nil"/>
              <w:bottom w:val="single" w:color="auto"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eastAsia" w:ascii="宋体" w:hAnsi="宋体" w:eastAsia="宋体" w:cs="宋体"/>
                <w:sz w:val="18"/>
                <w:szCs w:val="18"/>
                <w:bdr w:val="none" w:color="auto" w:sz="0" w:space="0"/>
              </w:rPr>
              <w:t>产品设计</w:t>
            </w:r>
          </w:p>
        </w:tc>
        <w:tc>
          <w:tcPr>
            <w:tcW w:w="5460" w:type="dxa"/>
            <w:tcBorders>
              <w:top w:val="nil"/>
              <w:left w:val="nil"/>
              <w:bottom w:val="single" w:color="auto"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宋体" w:hAnsi="宋体" w:eastAsia="宋体" w:cs="宋体"/>
                <w:sz w:val="18"/>
                <w:szCs w:val="18"/>
                <w:bdr w:val="none" w:color="auto" w:sz="0" w:space="0"/>
              </w:rPr>
              <w:t>产品设计专业</w:t>
            </w:r>
          </w:p>
        </w:tc>
        <w:tc>
          <w:tcPr>
            <w:tcW w:w="1320" w:type="dxa"/>
            <w:tcBorders>
              <w:top w:val="single" w:color="000000" w:sz="6" w:space="0"/>
              <w:left w:val="nil"/>
              <w:bottom w:val="single" w:color="000000"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sz w:val="21"/>
                <w:szCs w:val="21"/>
              </w:rPr>
            </w:pPr>
            <w:r>
              <w:rPr>
                <w:rFonts w:hint="eastAsia" w:ascii="宋体" w:hAnsi="宋体" w:eastAsia="宋体" w:cs="宋体"/>
                <w:sz w:val="18"/>
                <w:szCs w:val="18"/>
                <w:bdr w:val="none" w:color="auto" w:sz="0" w:space="0"/>
              </w:rPr>
              <w:t>硕士研究生或“双一流”本科</w:t>
            </w:r>
          </w:p>
        </w:tc>
      </w:tr>
      <w:tr>
        <w:tblPrEx>
          <w:tblCellMar>
            <w:top w:w="0" w:type="dxa"/>
            <w:left w:w="0" w:type="dxa"/>
            <w:bottom w:w="0" w:type="dxa"/>
            <w:right w:w="0" w:type="dxa"/>
          </w:tblCellMar>
        </w:tblPrEx>
        <w:trPr>
          <w:trHeight w:val="330" w:hRule="atLeast"/>
          <w:jc w:val="center"/>
        </w:trPr>
        <w:tc>
          <w:tcPr>
            <w:tcW w:w="465" w:type="dxa"/>
            <w:vMerge w:val="continue"/>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570"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1500"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495" w:type="dxa"/>
            <w:tcBorders>
              <w:top w:val="nil"/>
              <w:left w:val="nil"/>
              <w:bottom w:val="single" w:color="auto"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eastAsia" w:ascii="宋体" w:hAnsi="宋体" w:eastAsia="宋体" w:cs="宋体"/>
                <w:sz w:val="18"/>
                <w:szCs w:val="18"/>
                <w:bdr w:val="none" w:color="auto" w:sz="0" w:space="0"/>
              </w:rPr>
              <w:t>1</w:t>
            </w:r>
          </w:p>
        </w:tc>
        <w:tc>
          <w:tcPr>
            <w:tcW w:w="930" w:type="dxa"/>
            <w:tcBorders>
              <w:top w:val="nil"/>
              <w:left w:val="nil"/>
              <w:bottom w:val="single" w:color="auto"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eastAsia" w:ascii="宋体" w:hAnsi="宋体" w:eastAsia="宋体" w:cs="宋体"/>
                <w:sz w:val="18"/>
                <w:szCs w:val="18"/>
                <w:bdr w:val="none" w:color="auto" w:sz="0" w:space="0"/>
              </w:rPr>
              <w:t>园艺</w:t>
            </w:r>
          </w:p>
        </w:tc>
        <w:tc>
          <w:tcPr>
            <w:tcW w:w="5460" w:type="dxa"/>
            <w:tcBorders>
              <w:top w:val="nil"/>
              <w:left w:val="nil"/>
              <w:bottom w:val="single" w:color="auto"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宋体" w:hAnsi="宋体" w:eastAsia="宋体" w:cs="宋体"/>
                <w:sz w:val="18"/>
                <w:szCs w:val="18"/>
                <w:bdr w:val="none" w:color="auto" w:sz="0" w:space="0"/>
              </w:rPr>
              <w:t>园艺学；园艺、园艺教育专业</w:t>
            </w:r>
          </w:p>
        </w:tc>
        <w:tc>
          <w:tcPr>
            <w:tcW w:w="1320" w:type="dxa"/>
            <w:tcBorders>
              <w:top w:val="nil"/>
              <w:left w:val="nil"/>
              <w:bottom w:val="single" w:color="000000"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sz w:val="21"/>
                <w:szCs w:val="21"/>
              </w:rPr>
            </w:pPr>
            <w:r>
              <w:rPr>
                <w:rFonts w:hint="eastAsia" w:ascii="宋体" w:hAnsi="宋体" w:eastAsia="宋体" w:cs="宋体"/>
                <w:sz w:val="18"/>
                <w:szCs w:val="18"/>
                <w:bdr w:val="none" w:color="auto" w:sz="0" w:space="0"/>
              </w:rPr>
              <w:t>硕士研究生或“双一流”本科</w:t>
            </w:r>
          </w:p>
        </w:tc>
      </w:tr>
      <w:tr>
        <w:tblPrEx>
          <w:tblCellMar>
            <w:top w:w="0" w:type="dxa"/>
            <w:left w:w="0" w:type="dxa"/>
            <w:bottom w:w="0" w:type="dxa"/>
            <w:right w:w="0" w:type="dxa"/>
          </w:tblCellMar>
        </w:tblPrEx>
        <w:trPr>
          <w:trHeight w:val="166" w:hRule="atLeast"/>
          <w:jc w:val="center"/>
        </w:trPr>
        <w:tc>
          <w:tcPr>
            <w:tcW w:w="465" w:type="dxa"/>
            <w:vMerge w:val="continue"/>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570"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1500" w:type="dxa"/>
            <w:vMerge w:val="restart"/>
            <w:tcBorders>
              <w:top w:val="nil"/>
              <w:left w:val="nil"/>
              <w:bottom w:val="single" w:color="auto"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8"/>
                <w:szCs w:val="18"/>
                <w:bdr w:val="none" w:color="auto" w:sz="0" w:space="0"/>
              </w:rPr>
              <w:t>平湖技师学院</w:t>
            </w:r>
          </w:p>
        </w:tc>
        <w:tc>
          <w:tcPr>
            <w:tcW w:w="495" w:type="dxa"/>
            <w:tcBorders>
              <w:top w:val="nil"/>
              <w:left w:val="nil"/>
              <w:bottom w:val="single" w:color="auto"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8"/>
                <w:szCs w:val="18"/>
                <w:bdr w:val="none" w:color="auto" w:sz="0" w:space="0"/>
              </w:rPr>
              <w:t>1</w:t>
            </w:r>
          </w:p>
        </w:tc>
        <w:tc>
          <w:tcPr>
            <w:tcW w:w="930" w:type="dxa"/>
            <w:tcBorders>
              <w:top w:val="nil"/>
              <w:left w:val="nil"/>
              <w:bottom w:val="single" w:color="auto"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sz w:val="18"/>
                <w:szCs w:val="18"/>
                <w:bdr w:val="none" w:color="auto" w:sz="0" w:space="0"/>
              </w:rPr>
              <w:t>电气工程及其自动化（工业机器人方向）</w:t>
            </w:r>
          </w:p>
        </w:tc>
        <w:tc>
          <w:tcPr>
            <w:tcW w:w="5460" w:type="dxa"/>
            <w:tcBorders>
              <w:top w:val="nil"/>
              <w:left w:val="nil"/>
              <w:bottom w:val="single" w:color="auto"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rPr>
                <w:sz w:val="21"/>
                <w:szCs w:val="21"/>
              </w:rPr>
            </w:pPr>
            <w:r>
              <w:rPr>
                <w:rFonts w:hint="eastAsia" w:ascii="宋体" w:hAnsi="宋体" w:eastAsia="宋体" w:cs="宋体"/>
                <w:sz w:val="18"/>
                <w:szCs w:val="18"/>
                <w:bdr w:val="none" w:color="auto" w:sz="0" w:space="0"/>
              </w:rPr>
              <w:t>机器人工程、自动化、电气工程及其自动化、电气工程与智能控制、智能科学与技术专业</w:t>
            </w:r>
          </w:p>
        </w:tc>
        <w:tc>
          <w:tcPr>
            <w:tcW w:w="1320" w:type="dxa"/>
            <w:tcBorders>
              <w:top w:val="nil"/>
              <w:left w:val="nil"/>
              <w:bottom w:val="single" w:color="000000"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sz w:val="21"/>
                <w:szCs w:val="21"/>
              </w:rPr>
            </w:pPr>
            <w:r>
              <w:rPr>
                <w:rFonts w:hint="eastAsia" w:ascii="宋体" w:hAnsi="宋体" w:eastAsia="宋体" w:cs="宋体"/>
                <w:sz w:val="18"/>
                <w:szCs w:val="18"/>
                <w:bdr w:val="none" w:color="auto" w:sz="0" w:space="0"/>
              </w:rPr>
              <w:t>/</w:t>
            </w:r>
          </w:p>
        </w:tc>
      </w:tr>
      <w:tr>
        <w:tblPrEx>
          <w:tblCellMar>
            <w:top w:w="0" w:type="dxa"/>
            <w:left w:w="0" w:type="dxa"/>
            <w:bottom w:w="0" w:type="dxa"/>
            <w:right w:w="0" w:type="dxa"/>
          </w:tblCellMar>
        </w:tblPrEx>
        <w:trPr>
          <w:trHeight w:val="495" w:hRule="atLeast"/>
          <w:jc w:val="center"/>
        </w:trPr>
        <w:tc>
          <w:tcPr>
            <w:tcW w:w="465" w:type="dxa"/>
            <w:vMerge w:val="continue"/>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570"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1500"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495" w:type="dxa"/>
            <w:tcBorders>
              <w:top w:val="nil"/>
              <w:left w:val="nil"/>
              <w:bottom w:val="single" w:color="auto"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eastAsia" w:ascii="宋体" w:hAnsi="宋体" w:eastAsia="宋体" w:cs="宋体"/>
                <w:sz w:val="18"/>
                <w:szCs w:val="18"/>
                <w:bdr w:val="none" w:color="auto" w:sz="0" w:space="0"/>
              </w:rPr>
              <w:t>1</w:t>
            </w:r>
          </w:p>
        </w:tc>
        <w:tc>
          <w:tcPr>
            <w:tcW w:w="930" w:type="dxa"/>
            <w:tcBorders>
              <w:top w:val="nil"/>
              <w:left w:val="nil"/>
              <w:bottom w:val="single" w:color="auto"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sz w:val="18"/>
                <w:szCs w:val="18"/>
                <w:bdr w:val="none" w:color="auto" w:sz="0" w:space="0"/>
              </w:rPr>
              <w:t>新能源材料与器件</w:t>
            </w:r>
          </w:p>
        </w:tc>
        <w:tc>
          <w:tcPr>
            <w:tcW w:w="5460" w:type="dxa"/>
            <w:tcBorders>
              <w:top w:val="nil"/>
              <w:left w:val="nil"/>
              <w:bottom w:val="single" w:color="auto"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sz w:val="21"/>
                <w:szCs w:val="21"/>
              </w:rPr>
            </w:pPr>
            <w:r>
              <w:rPr>
                <w:rFonts w:hint="eastAsia" w:ascii="宋体" w:hAnsi="宋体" w:eastAsia="宋体" w:cs="宋体"/>
                <w:sz w:val="18"/>
                <w:szCs w:val="18"/>
                <w:bdr w:val="none" w:color="auto" w:sz="0" w:space="0"/>
              </w:rPr>
              <w:t>新能源材料与器件、</w:t>
            </w:r>
            <w:r>
              <w:rPr>
                <w:sz w:val="19"/>
                <w:szCs w:val="19"/>
                <w:bdr w:val="none" w:color="auto" w:sz="0" w:space="0"/>
              </w:rPr>
              <w:t>新能源科学与工程专业</w:t>
            </w:r>
          </w:p>
        </w:tc>
        <w:tc>
          <w:tcPr>
            <w:tcW w:w="1320" w:type="dxa"/>
            <w:tcBorders>
              <w:top w:val="nil"/>
              <w:left w:val="nil"/>
              <w:bottom w:val="single" w:color="000000"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sz w:val="21"/>
                <w:szCs w:val="21"/>
              </w:rPr>
            </w:pPr>
            <w:r>
              <w:rPr>
                <w:rFonts w:hint="eastAsia" w:ascii="宋体" w:hAnsi="宋体" w:eastAsia="宋体" w:cs="宋体"/>
                <w:sz w:val="18"/>
                <w:szCs w:val="18"/>
                <w:bdr w:val="none" w:color="auto" w:sz="0" w:space="0"/>
              </w:rPr>
              <w:t>/</w:t>
            </w:r>
          </w:p>
        </w:tc>
      </w:tr>
      <w:tr>
        <w:tblPrEx>
          <w:tblCellMar>
            <w:top w:w="0" w:type="dxa"/>
            <w:left w:w="0" w:type="dxa"/>
            <w:bottom w:w="0" w:type="dxa"/>
            <w:right w:w="0" w:type="dxa"/>
          </w:tblCellMar>
        </w:tblPrEx>
        <w:trPr>
          <w:trHeight w:val="495" w:hRule="atLeast"/>
          <w:jc w:val="center"/>
        </w:trPr>
        <w:tc>
          <w:tcPr>
            <w:tcW w:w="465" w:type="dxa"/>
            <w:vMerge w:val="continue"/>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570"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1500"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495" w:type="dxa"/>
            <w:tcBorders>
              <w:top w:val="nil"/>
              <w:left w:val="nil"/>
              <w:bottom w:val="single" w:color="auto"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eastAsia" w:ascii="宋体" w:hAnsi="宋体" w:eastAsia="宋体" w:cs="宋体"/>
                <w:sz w:val="18"/>
                <w:szCs w:val="18"/>
                <w:bdr w:val="none" w:color="auto" w:sz="0" w:space="0"/>
              </w:rPr>
              <w:t>1</w:t>
            </w:r>
          </w:p>
        </w:tc>
        <w:tc>
          <w:tcPr>
            <w:tcW w:w="930" w:type="dxa"/>
            <w:tcBorders>
              <w:top w:val="nil"/>
              <w:left w:val="nil"/>
              <w:bottom w:val="single" w:color="auto"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sz w:val="18"/>
                <w:szCs w:val="18"/>
                <w:bdr w:val="none" w:color="auto" w:sz="0" w:space="0"/>
              </w:rPr>
              <w:t>国际经济与贸易</w:t>
            </w:r>
          </w:p>
        </w:tc>
        <w:tc>
          <w:tcPr>
            <w:tcW w:w="5460" w:type="dxa"/>
            <w:tcBorders>
              <w:top w:val="nil"/>
              <w:left w:val="nil"/>
              <w:bottom w:val="single" w:color="auto"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sz w:val="21"/>
                <w:szCs w:val="21"/>
              </w:rPr>
            </w:pPr>
            <w:r>
              <w:rPr>
                <w:rFonts w:hint="eastAsia" w:ascii="宋体" w:hAnsi="宋体" w:eastAsia="宋体" w:cs="宋体"/>
                <w:sz w:val="18"/>
                <w:szCs w:val="18"/>
                <w:bdr w:val="none" w:color="auto" w:sz="0" w:space="0"/>
              </w:rPr>
              <w:t>国际经济与贸易、贸易经济、国际贸易学专业</w:t>
            </w:r>
          </w:p>
        </w:tc>
        <w:tc>
          <w:tcPr>
            <w:tcW w:w="1320" w:type="dxa"/>
            <w:tcBorders>
              <w:top w:val="nil"/>
              <w:left w:val="nil"/>
              <w:bottom w:val="single" w:color="000000"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sz w:val="21"/>
                <w:szCs w:val="21"/>
              </w:rPr>
            </w:pPr>
            <w:r>
              <w:rPr>
                <w:rFonts w:hint="eastAsia" w:ascii="宋体" w:hAnsi="宋体" w:eastAsia="宋体" w:cs="宋体"/>
                <w:sz w:val="18"/>
                <w:szCs w:val="18"/>
                <w:bdr w:val="none" w:color="auto" w:sz="0" w:space="0"/>
              </w:rPr>
              <w:t>“双一流”本科</w:t>
            </w:r>
          </w:p>
        </w:tc>
      </w:tr>
      <w:tr>
        <w:tblPrEx>
          <w:tblCellMar>
            <w:top w:w="0" w:type="dxa"/>
            <w:left w:w="0" w:type="dxa"/>
            <w:bottom w:w="0" w:type="dxa"/>
            <w:right w:w="0" w:type="dxa"/>
          </w:tblCellMar>
        </w:tblPrEx>
        <w:trPr>
          <w:trHeight w:val="420" w:hRule="atLeast"/>
          <w:jc w:val="center"/>
        </w:trPr>
        <w:tc>
          <w:tcPr>
            <w:tcW w:w="465" w:type="dxa"/>
            <w:vMerge w:val="continue"/>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570"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1500"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495" w:type="dxa"/>
            <w:tcBorders>
              <w:top w:val="nil"/>
              <w:left w:val="nil"/>
              <w:bottom w:val="single" w:color="auto"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eastAsia" w:ascii="宋体" w:hAnsi="宋体" w:eastAsia="宋体" w:cs="宋体"/>
                <w:sz w:val="18"/>
                <w:szCs w:val="18"/>
                <w:bdr w:val="none" w:color="auto" w:sz="0" w:space="0"/>
              </w:rPr>
              <w:t>1</w:t>
            </w:r>
          </w:p>
        </w:tc>
        <w:tc>
          <w:tcPr>
            <w:tcW w:w="930" w:type="dxa"/>
            <w:tcBorders>
              <w:top w:val="nil"/>
              <w:left w:val="nil"/>
              <w:bottom w:val="single" w:color="auto"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sz w:val="18"/>
                <w:szCs w:val="18"/>
                <w:bdr w:val="none" w:color="auto" w:sz="0" w:space="0"/>
              </w:rPr>
              <w:t>车辆工程</w:t>
            </w:r>
          </w:p>
        </w:tc>
        <w:tc>
          <w:tcPr>
            <w:tcW w:w="5460" w:type="dxa"/>
            <w:tcBorders>
              <w:top w:val="nil"/>
              <w:left w:val="nil"/>
              <w:bottom w:val="single" w:color="auto"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sz w:val="21"/>
                <w:szCs w:val="21"/>
              </w:rPr>
            </w:pPr>
            <w:r>
              <w:rPr>
                <w:rFonts w:hint="eastAsia" w:ascii="宋体" w:hAnsi="宋体" w:eastAsia="宋体" w:cs="宋体"/>
                <w:sz w:val="18"/>
                <w:szCs w:val="18"/>
                <w:bdr w:val="none" w:color="auto" w:sz="0" w:space="0"/>
              </w:rPr>
              <w:t>车辆工程、智能车辆工程、汽车维修工程教育、新能源汽车工程专业</w:t>
            </w:r>
          </w:p>
        </w:tc>
        <w:tc>
          <w:tcPr>
            <w:tcW w:w="1320" w:type="dxa"/>
            <w:tcBorders>
              <w:top w:val="nil"/>
              <w:left w:val="nil"/>
              <w:bottom w:val="single" w:color="000000"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sz w:val="21"/>
                <w:szCs w:val="21"/>
              </w:rPr>
            </w:pPr>
            <w:r>
              <w:rPr>
                <w:rFonts w:hint="eastAsia" w:ascii="宋体" w:hAnsi="宋体" w:eastAsia="宋体" w:cs="宋体"/>
                <w:sz w:val="18"/>
                <w:szCs w:val="18"/>
                <w:bdr w:val="none" w:color="auto" w:sz="0" w:space="0"/>
              </w:rPr>
              <w:t>/</w:t>
            </w:r>
          </w:p>
        </w:tc>
      </w:tr>
      <w:tr>
        <w:tblPrEx>
          <w:tblCellMar>
            <w:top w:w="0" w:type="dxa"/>
            <w:left w:w="0" w:type="dxa"/>
            <w:bottom w:w="0" w:type="dxa"/>
            <w:right w:w="0" w:type="dxa"/>
          </w:tblCellMar>
        </w:tblPrEx>
        <w:trPr>
          <w:trHeight w:val="316" w:hRule="atLeast"/>
          <w:jc w:val="center"/>
        </w:trPr>
        <w:tc>
          <w:tcPr>
            <w:tcW w:w="465" w:type="dxa"/>
            <w:vMerge w:val="continue"/>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570"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1500"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495" w:type="dxa"/>
            <w:tcBorders>
              <w:top w:val="nil"/>
              <w:left w:val="nil"/>
              <w:bottom w:val="single" w:color="auto"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8"/>
                <w:szCs w:val="18"/>
                <w:bdr w:val="none" w:color="auto" w:sz="0" w:space="0"/>
              </w:rPr>
              <w:t>1</w:t>
            </w:r>
          </w:p>
        </w:tc>
        <w:tc>
          <w:tcPr>
            <w:tcW w:w="930" w:type="dxa"/>
            <w:tcBorders>
              <w:top w:val="nil"/>
              <w:left w:val="nil"/>
              <w:bottom w:val="single" w:color="auto"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8"/>
                <w:szCs w:val="18"/>
                <w:bdr w:val="none" w:color="auto" w:sz="0" w:space="0"/>
              </w:rPr>
              <w:t>产品设计</w:t>
            </w:r>
          </w:p>
        </w:tc>
        <w:tc>
          <w:tcPr>
            <w:tcW w:w="5460" w:type="dxa"/>
            <w:tcBorders>
              <w:top w:val="nil"/>
              <w:left w:val="nil"/>
              <w:bottom w:val="single" w:color="auto"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rFonts w:hint="eastAsia" w:ascii="宋体" w:hAnsi="宋体" w:eastAsia="宋体" w:cs="宋体"/>
                <w:sz w:val="18"/>
                <w:szCs w:val="18"/>
                <w:bdr w:val="none" w:color="auto" w:sz="0" w:space="0"/>
              </w:rPr>
              <w:t>产品设计、</w:t>
            </w:r>
            <w:r>
              <w:rPr>
                <w:rFonts w:hint="eastAsia" w:ascii="宋体" w:hAnsi="宋体" w:eastAsia="宋体" w:cs="宋体"/>
                <w:color w:val="000000"/>
                <w:sz w:val="18"/>
                <w:szCs w:val="18"/>
                <w:bdr w:val="none" w:color="auto" w:sz="0" w:space="0"/>
              </w:rPr>
              <w:t>视觉传达设计、工艺美术专业</w:t>
            </w:r>
          </w:p>
        </w:tc>
        <w:tc>
          <w:tcPr>
            <w:tcW w:w="1320" w:type="dxa"/>
            <w:tcBorders>
              <w:top w:val="nil"/>
              <w:left w:val="nil"/>
              <w:bottom w:val="single" w:color="000000"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sz w:val="21"/>
                <w:szCs w:val="21"/>
              </w:rPr>
            </w:pPr>
            <w:r>
              <w:rPr>
                <w:rFonts w:hint="eastAsia" w:ascii="宋体" w:hAnsi="宋体" w:eastAsia="宋体" w:cs="宋体"/>
                <w:sz w:val="18"/>
                <w:szCs w:val="18"/>
                <w:bdr w:val="none" w:color="auto" w:sz="0" w:space="0"/>
              </w:rPr>
              <w:t>/</w:t>
            </w:r>
          </w:p>
        </w:tc>
      </w:tr>
      <w:tr>
        <w:tblPrEx>
          <w:tblCellMar>
            <w:top w:w="0" w:type="dxa"/>
            <w:left w:w="0" w:type="dxa"/>
            <w:bottom w:w="0" w:type="dxa"/>
            <w:right w:w="0" w:type="dxa"/>
          </w:tblCellMar>
        </w:tblPrEx>
        <w:trPr>
          <w:trHeight w:val="540" w:hRule="atLeast"/>
          <w:jc w:val="center"/>
        </w:trPr>
        <w:tc>
          <w:tcPr>
            <w:tcW w:w="465" w:type="dxa"/>
            <w:vMerge w:val="restart"/>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8"/>
                <w:szCs w:val="18"/>
                <w:bdr w:val="none" w:color="auto" w:sz="0" w:space="0"/>
              </w:rPr>
              <w:t>实习指导</w:t>
            </w:r>
          </w:p>
        </w:tc>
        <w:tc>
          <w:tcPr>
            <w:tcW w:w="570"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1500"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495" w:type="dxa"/>
            <w:tcBorders>
              <w:top w:val="nil"/>
              <w:left w:val="nil"/>
              <w:bottom w:val="single" w:color="auto"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8"/>
                <w:szCs w:val="18"/>
                <w:bdr w:val="none" w:color="auto" w:sz="0" w:space="0"/>
              </w:rPr>
              <w:t>1</w:t>
            </w:r>
          </w:p>
        </w:tc>
        <w:tc>
          <w:tcPr>
            <w:tcW w:w="930" w:type="dxa"/>
            <w:tcBorders>
              <w:top w:val="nil"/>
              <w:left w:val="nil"/>
              <w:bottom w:val="single" w:color="auto"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sz w:val="18"/>
                <w:szCs w:val="18"/>
                <w:bdr w:val="none" w:color="auto" w:sz="0" w:space="0"/>
              </w:rPr>
              <w:t>焊接技术及自动化</w:t>
            </w:r>
          </w:p>
        </w:tc>
        <w:tc>
          <w:tcPr>
            <w:tcW w:w="5460" w:type="dxa"/>
            <w:tcBorders>
              <w:top w:val="nil"/>
              <w:left w:val="nil"/>
              <w:bottom w:val="single" w:color="auto"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rFonts w:hint="eastAsia" w:ascii="宋体" w:hAnsi="宋体" w:eastAsia="宋体" w:cs="宋体"/>
                <w:sz w:val="18"/>
                <w:szCs w:val="18"/>
                <w:bdr w:val="none" w:color="auto" w:sz="0" w:space="0"/>
              </w:rPr>
              <w:t>焊接技术及自动化、焊接技术与工程专业</w:t>
            </w:r>
          </w:p>
        </w:tc>
        <w:tc>
          <w:tcPr>
            <w:tcW w:w="1320" w:type="dxa"/>
            <w:tcBorders>
              <w:top w:val="nil"/>
              <w:left w:val="nil"/>
              <w:bottom w:val="single" w:color="000000"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sz w:val="21"/>
                <w:szCs w:val="21"/>
              </w:rPr>
            </w:pPr>
            <w:r>
              <w:rPr>
                <w:rFonts w:hint="eastAsia" w:ascii="宋体" w:hAnsi="宋体" w:eastAsia="宋体" w:cs="宋体"/>
                <w:sz w:val="18"/>
                <w:szCs w:val="18"/>
                <w:bdr w:val="none" w:color="auto" w:sz="0" w:space="0"/>
              </w:rPr>
              <w:t>/</w:t>
            </w:r>
          </w:p>
        </w:tc>
      </w:tr>
      <w:tr>
        <w:tblPrEx>
          <w:tblCellMar>
            <w:top w:w="0" w:type="dxa"/>
            <w:left w:w="0" w:type="dxa"/>
            <w:bottom w:w="0" w:type="dxa"/>
            <w:right w:w="0" w:type="dxa"/>
          </w:tblCellMar>
        </w:tblPrEx>
        <w:trPr>
          <w:trHeight w:val="316" w:hRule="atLeast"/>
          <w:jc w:val="center"/>
        </w:trPr>
        <w:tc>
          <w:tcPr>
            <w:tcW w:w="465" w:type="dxa"/>
            <w:vMerge w:val="continue"/>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570"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1500"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495" w:type="dxa"/>
            <w:tcBorders>
              <w:top w:val="nil"/>
              <w:left w:val="nil"/>
              <w:bottom w:val="single" w:color="auto"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8"/>
                <w:szCs w:val="18"/>
                <w:bdr w:val="none" w:color="auto" w:sz="0" w:space="0"/>
              </w:rPr>
              <w:t>1</w:t>
            </w:r>
          </w:p>
        </w:tc>
        <w:tc>
          <w:tcPr>
            <w:tcW w:w="930" w:type="dxa"/>
            <w:tcBorders>
              <w:top w:val="nil"/>
              <w:left w:val="nil"/>
              <w:bottom w:val="single" w:color="auto"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sz w:val="18"/>
                <w:szCs w:val="18"/>
                <w:bdr w:val="none" w:color="auto" w:sz="0" w:space="0"/>
              </w:rPr>
              <w:t>数控加工</w:t>
            </w:r>
          </w:p>
        </w:tc>
        <w:tc>
          <w:tcPr>
            <w:tcW w:w="5460" w:type="dxa"/>
            <w:tcBorders>
              <w:top w:val="nil"/>
              <w:left w:val="nil"/>
              <w:bottom w:val="single" w:color="auto"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rFonts w:hint="eastAsia" w:ascii="宋体" w:hAnsi="宋体" w:eastAsia="宋体" w:cs="宋体"/>
                <w:sz w:val="18"/>
                <w:szCs w:val="18"/>
                <w:bdr w:val="none" w:color="auto" w:sz="0" w:space="0"/>
              </w:rPr>
              <w:t>机械设计与制造、机械制造与自动化、数控技术、材料成型与控制技术、模具设计与制造、机械工程、机械设计制造及其自动化、材料成型及控制工程、机械电子工程、工业设计、机械工艺技术、机电技术教育、智能制造工程专业</w:t>
            </w:r>
          </w:p>
        </w:tc>
        <w:tc>
          <w:tcPr>
            <w:tcW w:w="1320" w:type="dxa"/>
            <w:tcBorders>
              <w:top w:val="nil"/>
              <w:left w:val="nil"/>
              <w:bottom w:val="single" w:color="000000"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sz w:val="21"/>
                <w:szCs w:val="21"/>
              </w:rPr>
            </w:pPr>
            <w:r>
              <w:rPr>
                <w:rFonts w:hint="eastAsia" w:ascii="宋体" w:hAnsi="宋体" w:eastAsia="宋体" w:cs="宋体"/>
                <w:sz w:val="18"/>
                <w:szCs w:val="18"/>
                <w:bdr w:val="none" w:color="auto" w:sz="0" w:space="0"/>
              </w:rPr>
              <w:t>/</w:t>
            </w:r>
          </w:p>
        </w:tc>
      </w:tr>
      <w:tr>
        <w:tblPrEx>
          <w:tblCellMar>
            <w:top w:w="0" w:type="dxa"/>
            <w:left w:w="0" w:type="dxa"/>
            <w:bottom w:w="0" w:type="dxa"/>
            <w:right w:w="0" w:type="dxa"/>
          </w:tblCellMar>
        </w:tblPrEx>
        <w:trPr>
          <w:trHeight w:val="316" w:hRule="atLeast"/>
          <w:jc w:val="center"/>
        </w:trPr>
        <w:tc>
          <w:tcPr>
            <w:tcW w:w="465" w:type="dxa"/>
            <w:vMerge w:val="continue"/>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570"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1500"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495" w:type="dxa"/>
            <w:tcBorders>
              <w:top w:val="nil"/>
              <w:left w:val="nil"/>
              <w:bottom w:val="single" w:color="auto"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8"/>
                <w:szCs w:val="18"/>
                <w:bdr w:val="none" w:color="auto" w:sz="0" w:space="0"/>
              </w:rPr>
              <w:t>1</w:t>
            </w:r>
          </w:p>
        </w:tc>
        <w:tc>
          <w:tcPr>
            <w:tcW w:w="930" w:type="dxa"/>
            <w:tcBorders>
              <w:top w:val="nil"/>
              <w:left w:val="nil"/>
              <w:bottom w:val="single" w:color="auto"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sz w:val="18"/>
                <w:szCs w:val="18"/>
                <w:bdr w:val="none" w:color="auto" w:sz="0" w:space="0"/>
              </w:rPr>
              <w:t>数控设备应用与维护</w:t>
            </w:r>
          </w:p>
        </w:tc>
        <w:tc>
          <w:tcPr>
            <w:tcW w:w="5460" w:type="dxa"/>
            <w:tcBorders>
              <w:top w:val="nil"/>
              <w:left w:val="nil"/>
              <w:bottom w:val="single" w:color="auto"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rFonts w:hint="eastAsia" w:ascii="宋体" w:hAnsi="宋体" w:eastAsia="宋体" w:cs="宋体"/>
                <w:sz w:val="18"/>
                <w:szCs w:val="18"/>
                <w:bdr w:val="none" w:color="auto" w:sz="0" w:space="0"/>
              </w:rPr>
              <w:t>数控设备应用与维护、机电设备维修与管理、数控技术专业</w:t>
            </w:r>
          </w:p>
        </w:tc>
        <w:tc>
          <w:tcPr>
            <w:tcW w:w="1320" w:type="dxa"/>
            <w:tcBorders>
              <w:top w:val="nil"/>
              <w:left w:val="nil"/>
              <w:bottom w:val="single" w:color="000000"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sz w:val="21"/>
                <w:szCs w:val="21"/>
              </w:rPr>
            </w:pPr>
            <w:r>
              <w:rPr>
                <w:rFonts w:hint="eastAsia" w:ascii="宋体" w:hAnsi="宋体" w:eastAsia="宋体" w:cs="宋体"/>
                <w:sz w:val="18"/>
                <w:szCs w:val="18"/>
                <w:bdr w:val="none" w:color="auto" w:sz="0" w:space="0"/>
              </w:rPr>
              <w:t>/</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center"/>
        <w:rPr>
          <w:sz w:val="21"/>
          <w:szCs w:val="21"/>
        </w:rPr>
      </w:pPr>
      <w:r>
        <w:rPr>
          <w:rFonts w:hint="eastAsia" w:ascii="宋体" w:hAnsi="宋体" w:eastAsia="宋体" w:cs="宋体"/>
          <w:i w:val="0"/>
          <w:caps w:val="0"/>
          <w:color w:val="454545"/>
          <w:spacing w:val="0"/>
          <w:sz w:val="18"/>
          <w:szCs w:val="18"/>
          <w:bdr w:val="none" w:color="auto" w:sz="0" w:space="0"/>
        </w:rPr>
        <w:t>备注：“本科”是指大学本科及以上；“硕研”是指硕士研究生及以上。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sz w:val="21"/>
          <w:szCs w:val="21"/>
        </w:rPr>
      </w:pPr>
      <w:r>
        <w:rPr>
          <w:rFonts w:hint="eastAsia" w:ascii="微软雅黑" w:hAnsi="微软雅黑" w:eastAsia="微软雅黑" w:cs="微软雅黑"/>
          <w:i w:val="0"/>
          <w:caps w:val="0"/>
          <w:color w:val="454545"/>
          <w:spacing w:val="0"/>
          <w:sz w:val="21"/>
          <w:szCs w:val="21"/>
          <w:bdr w:val="none" w:color="auto" w:sz="0" w:space="0"/>
        </w:rPr>
        <w:t>附件2: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Style w:val="7"/>
          <w:rFonts w:hint="eastAsia" w:ascii="宋体" w:hAnsi="宋体" w:eastAsia="宋体" w:cs="宋体"/>
          <w:i w:val="0"/>
          <w:caps w:val="0"/>
          <w:color w:val="454545"/>
          <w:spacing w:val="0"/>
          <w:sz w:val="36"/>
          <w:szCs w:val="36"/>
          <w:bdr w:val="none" w:color="auto" w:sz="0" w:space="0"/>
        </w:rPr>
        <w:t>平湖市教育局校园招聘2021学年教师报名登记表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360"/>
        <w:rPr>
          <w:sz w:val="21"/>
          <w:szCs w:val="21"/>
        </w:rPr>
      </w:pPr>
      <w:r>
        <w:rPr>
          <w:rFonts w:hint="eastAsia" w:ascii="宋体" w:hAnsi="宋体" w:eastAsia="宋体" w:cs="宋体"/>
          <w:i w:val="0"/>
          <w:caps w:val="0"/>
          <w:color w:val="454545"/>
          <w:spacing w:val="0"/>
          <w:sz w:val="21"/>
          <w:szCs w:val="21"/>
          <w:bdr w:val="none" w:color="auto" w:sz="0" w:space="0"/>
        </w:rPr>
        <w:t>                                                             2020</w:t>
      </w:r>
      <w:r>
        <w:rPr>
          <w:rFonts w:hint="eastAsia" w:ascii="微软雅黑" w:hAnsi="微软雅黑" w:eastAsia="微软雅黑" w:cs="微软雅黑"/>
          <w:i w:val="0"/>
          <w:caps w:val="0"/>
          <w:color w:val="454545"/>
          <w:spacing w:val="0"/>
          <w:sz w:val="21"/>
          <w:szCs w:val="21"/>
          <w:bdr w:val="none" w:color="auto" w:sz="0" w:space="0"/>
        </w:rPr>
        <w:t>年</w:t>
      </w:r>
      <w:r>
        <w:rPr>
          <w:rFonts w:hint="eastAsia" w:ascii="宋体" w:hAnsi="宋体" w:eastAsia="宋体" w:cs="宋体"/>
          <w:i w:val="0"/>
          <w:caps w:val="0"/>
          <w:color w:val="454545"/>
          <w:spacing w:val="0"/>
          <w:sz w:val="21"/>
          <w:szCs w:val="21"/>
          <w:bdr w:val="none" w:color="auto" w:sz="0" w:space="0"/>
        </w:rPr>
        <w:t>   </w:t>
      </w:r>
      <w:r>
        <w:rPr>
          <w:rFonts w:hint="eastAsia" w:ascii="微软雅黑" w:hAnsi="微软雅黑" w:eastAsia="微软雅黑" w:cs="微软雅黑"/>
          <w:i w:val="0"/>
          <w:caps w:val="0"/>
          <w:color w:val="454545"/>
          <w:spacing w:val="0"/>
          <w:sz w:val="21"/>
          <w:szCs w:val="21"/>
          <w:bdr w:val="none" w:color="auto" w:sz="0" w:space="0"/>
        </w:rPr>
        <w:t>月</w:t>
      </w:r>
      <w:r>
        <w:rPr>
          <w:rFonts w:hint="eastAsia" w:ascii="宋体" w:hAnsi="宋体" w:eastAsia="宋体" w:cs="宋体"/>
          <w:i w:val="0"/>
          <w:caps w:val="0"/>
          <w:color w:val="454545"/>
          <w:spacing w:val="0"/>
          <w:sz w:val="21"/>
          <w:szCs w:val="21"/>
          <w:bdr w:val="none" w:color="auto" w:sz="0" w:space="0"/>
        </w:rPr>
        <w:t>  </w:t>
      </w:r>
      <w:r>
        <w:rPr>
          <w:rFonts w:hint="eastAsia" w:ascii="微软雅黑" w:hAnsi="微软雅黑" w:eastAsia="微软雅黑" w:cs="微软雅黑"/>
          <w:i w:val="0"/>
          <w:caps w:val="0"/>
          <w:color w:val="454545"/>
          <w:spacing w:val="0"/>
          <w:sz w:val="21"/>
          <w:szCs w:val="21"/>
          <w:bdr w:val="none" w:color="auto" w:sz="0" w:space="0"/>
        </w:rPr>
        <w:t>日</w:t>
      </w:r>
      <w:r>
        <w:rPr>
          <w:rFonts w:hint="eastAsia" w:ascii="宋体" w:hAnsi="宋体" w:eastAsia="宋体" w:cs="宋体"/>
          <w:i w:val="0"/>
          <w:caps w:val="0"/>
          <w:color w:val="454545"/>
          <w:spacing w:val="0"/>
          <w:sz w:val="21"/>
          <w:szCs w:val="21"/>
          <w:bdr w:val="none" w:color="auto" w:sz="0" w:space="0"/>
        </w:rPr>
        <w:t>   </w:t>
      </w:r>
    </w:p>
    <w:tbl>
      <w:tblPr>
        <w:tblW w:w="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32"/>
        <w:gridCol w:w="1163"/>
        <w:gridCol w:w="151"/>
        <w:gridCol w:w="1138"/>
        <w:gridCol w:w="229"/>
        <w:gridCol w:w="1415"/>
        <w:gridCol w:w="1627"/>
        <w:gridCol w:w="316"/>
        <w:gridCol w:w="354"/>
        <w:gridCol w:w="159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35" w:hRule="atLeast"/>
          <w:jc w:val="center"/>
        </w:trPr>
        <w:tc>
          <w:tcPr>
            <w:tcW w:w="144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center"/>
              <w:rPr>
                <w:sz w:val="21"/>
                <w:szCs w:val="21"/>
              </w:rPr>
            </w:pPr>
            <w:r>
              <w:rPr>
                <w:rFonts w:hint="eastAsia" w:ascii="宋体" w:hAnsi="宋体" w:eastAsia="宋体" w:cs="宋体"/>
                <w:sz w:val="21"/>
                <w:szCs w:val="21"/>
                <w:bdr w:val="none" w:color="auto" w:sz="0" w:space="0"/>
              </w:rPr>
              <w:t>姓名</w:t>
            </w:r>
          </w:p>
        </w:tc>
        <w:tc>
          <w:tcPr>
            <w:tcW w:w="1155" w:type="dxa"/>
            <w:tcBorders>
              <w:top w:val="single" w:color="auto" w:sz="6" w:space="0"/>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pPr>
          </w:p>
        </w:tc>
        <w:tc>
          <w:tcPr>
            <w:tcW w:w="1080" w:type="dxa"/>
            <w:gridSpan w:val="2"/>
            <w:tcBorders>
              <w:top w:val="single" w:color="auto" w:sz="6" w:space="0"/>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center"/>
              <w:rPr>
                <w:sz w:val="21"/>
                <w:szCs w:val="21"/>
              </w:rPr>
            </w:pPr>
            <w:r>
              <w:rPr>
                <w:rFonts w:hint="eastAsia" w:ascii="宋体" w:hAnsi="宋体" w:eastAsia="宋体" w:cs="宋体"/>
                <w:sz w:val="21"/>
                <w:szCs w:val="21"/>
                <w:bdr w:val="none" w:color="auto" w:sz="0" w:space="0"/>
              </w:rPr>
              <w:t>性别</w:t>
            </w:r>
          </w:p>
        </w:tc>
        <w:tc>
          <w:tcPr>
            <w:tcW w:w="1485" w:type="dxa"/>
            <w:gridSpan w:val="2"/>
            <w:tcBorders>
              <w:top w:val="single" w:color="auto" w:sz="6" w:space="0"/>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pPr>
          </w:p>
        </w:tc>
        <w:tc>
          <w:tcPr>
            <w:tcW w:w="1485" w:type="dxa"/>
            <w:tcBorders>
              <w:top w:val="single" w:color="auto" w:sz="6" w:space="0"/>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center"/>
              <w:rPr>
                <w:sz w:val="21"/>
                <w:szCs w:val="21"/>
              </w:rPr>
            </w:pPr>
            <w:r>
              <w:rPr>
                <w:rFonts w:hint="eastAsia" w:ascii="宋体" w:hAnsi="宋体" w:eastAsia="宋体" w:cs="宋体"/>
                <w:sz w:val="21"/>
                <w:szCs w:val="21"/>
                <w:bdr w:val="none" w:color="auto" w:sz="0" w:space="0"/>
              </w:rPr>
              <w:t>民族</w:t>
            </w:r>
          </w:p>
        </w:tc>
        <w:tc>
          <w:tcPr>
            <w:tcW w:w="2220" w:type="dxa"/>
            <w:gridSpan w:val="3"/>
            <w:tcBorders>
              <w:top w:val="single" w:color="auto" w:sz="6" w:space="0"/>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0" w:hRule="atLeast"/>
          <w:jc w:val="center"/>
        </w:trPr>
        <w:tc>
          <w:tcPr>
            <w:tcW w:w="144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eastAsia" w:ascii="宋体" w:hAnsi="宋体" w:eastAsia="宋体" w:cs="宋体"/>
                <w:sz w:val="21"/>
                <w:szCs w:val="21"/>
                <w:bdr w:val="none" w:color="auto" w:sz="0" w:space="0"/>
              </w:rPr>
              <w:t>户籍或生源地</w:t>
            </w:r>
          </w:p>
        </w:tc>
        <w:tc>
          <w:tcPr>
            <w:tcW w:w="115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080" w:type="dxa"/>
            <w:gridSpan w:val="2"/>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eastAsia" w:ascii="宋体" w:hAnsi="宋体" w:eastAsia="宋体" w:cs="宋体"/>
                <w:sz w:val="21"/>
                <w:szCs w:val="21"/>
                <w:bdr w:val="none" w:color="auto" w:sz="0" w:space="0"/>
              </w:rPr>
              <w:t>出生年月</w:t>
            </w:r>
          </w:p>
        </w:tc>
        <w:tc>
          <w:tcPr>
            <w:tcW w:w="1485"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eastAsia" w:ascii="宋体" w:hAnsi="宋体" w:eastAsia="宋体" w:cs="宋体"/>
                <w:sz w:val="21"/>
                <w:szCs w:val="21"/>
                <w:bdr w:val="none" w:color="auto" w:sz="0" w:space="0"/>
              </w:rPr>
              <w:t>政治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eastAsia" w:ascii="宋体" w:hAnsi="宋体" w:eastAsia="宋体" w:cs="宋体"/>
                <w:sz w:val="21"/>
                <w:szCs w:val="21"/>
                <w:bdr w:val="none" w:color="auto" w:sz="0" w:space="0"/>
              </w:rPr>
              <w:t>面貌</w:t>
            </w:r>
          </w:p>
        </w:tc>
        <w:tc>
          <w:tcPr>
            <w:tcW w:w="2220"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0" w:hRule="atLeast"/>
          <w:jc w:val="center"/>
        </w:trPr>
        <w:tc>
          <w:tcPr>
            <w:tcW w:w="144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eastAsia" w:ascii="宋体" w:hAnsi="宋体" w:eastAsia="宋体" w:cs="宋体"/>
                <w:sz w:val="21"/>
                <w:szCs w:val="21"/>
                <w:bdr w:val="none" w:color="auto" w:sz="0" w:space="0"/>
              </w:rPr>
              <w:t>学历</w:t>
            </w:r>
          </w:p>
        </w:tc>
        <w:tc>
          <w:tcPr>
            <w:tcW w:w="115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080" w:type="dxa"/>
            <w:gridSpan w:val="2"/>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eastAsia" w:ascii="宋体" w:hAnsi="宋体" w:eastAsia="宋体" w:cs="宋体"/>
                <w:sz w:val="21"/>
                <w:szCs w:val="21"/>
                <w:bdr w:val="none" w:color="auto" w:sz="0" w:space="0"/>
              </w:rPr>
              <w:t>学位</w:t>
            </w:r>
          </w:p>
        </w:tc>
        <w:tc>
          <w:tcPr>
            <w:tcW w:w="1485"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eastAsia" w:ascii="宋体" w:hAnsi="宋体" w:eastAsia="宋体" w:cs="宋体"/>
                <w:sz w:val="21"/>
                <w:szCs w:val="21"/>
                <w:bdr w:val="none" w:color="auto" w:sz="0" w:space="0"/>
              </w:rPr>
              <w:t>毕业学校</w:t>
            </w:r>
          </w:p>
        </w:tc>
        <w:tc>
          <w:tcPr>
            <w:tcW w:w="2220"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0" w:hRule="atLeast"/>
          <w:jc w:val="center"/>
        </w:trPr>
        <w:tc>
          <w:tcPr>
            <w:tcW w:w="144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eastAsia" w:ascii="宋体" w:hAnsi="宋体" w:eastAsia="宋体" w:cs="宋体"/>
                <w:sz w:val="21"/>
                <w:szCs w:val="21"/>
                <w:bdr w:val="none" w:color="auto" w:sz="0" w:space="0"/>
              </w:rPr>
              <w:t>毕业时间</w:t>
            </w:r>
          </w:p>
        </w:tc>
        <w:tc>
          <w:tcPr>
            <w:tcW w:w="115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080" w:type="dxa"/>
            <w:gridSpan w:val="2"/>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eastAsia" w:ascii="宋体" w:hAnsi="宋体" w:eastAsia="宋体" w:cs="宋体"/>
                <w:sz w:val="21"/>
                <w:szCs w:val="21"/>
                <w:bdr w:val="none" w:color="auto" w:sz="0" w:space="0"/>
              </w:rPr>
              <w:t>所学专业</w:t>
            </w:r>
          </w:p>
        </w:tc>
        <w:tc>
          <w:tcPr>
            <w:tcW w:w="5205" w:type="dxa"/>
            <w:gridSpan w:val="6"/>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0" w:hRule="atLeast"/>
          <w:jc w:val="center"/>
        </w:trPr>
        <w:tc>
          <w:tcPr>
            <w:tcW w:w="144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eastAsia" w:ascii="宋体" w:hAnsi="宋体" w:eastAsia="宋体" w:cs="宋体"/>
                <w:sz w:val="21"/>
                <w:szCs w:val="21"/>
                <w:bdr w:val="none" w:color="auto" w:sz="0" w:space="0"/>
              </w:rPr>
              <w:t>录取段（批次）</w:t>
            </w:r>
          </w:p>
        </w:tc>
        <w:tc>
          <w:tcPr>
            <w:tcW w:w="115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080" w:type="dxa"/>
            <w:gridSpan w:val="2"/>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eastAsia" w:ascii="宋体" w:hAnsi="宋体" w:eastAsia="宋体" w:cs="宋体"/>
                <w:sz w:val="21"/>
                <w:szCs w:val="21"/>
                <w:bdr w:val="none" w:color="auto" w:sz="0" w:space="0"/>
              </w:rPr>
              <w:t>是否师范类</w:t>
            </w:r>
          </w:p>
        </w:tc>
        <w:tc>
          <w:tcPr>
            <w:tcW w:w="1485"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eastAsia" w:ascii="宋体" w:hAnsi="宋体" w:eastAsia="宋体" w:cs="宋体"/>
                <w:sz w:val="21"/>
                <w:szCs w:val="21"/>
                <w:bdr w:val="none" w:color="auto" w:sz="0" w:space="0"/>
              </w:rPr>
              <w:t>联系电话</w:t>
            </w:r>
          </w:p>
        </w:tc>
        <w:tc>
          <w:tcPr>
            <w:tcW w:w="2220"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0" w:hRule="atLeast"/>
          <w:jc w:val="center"/>
        </w:trPr>
        <w:tc>
          <w:tcPr>
            <w:tcW w:w="144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eastAsia" w:ascii="宋体" w:hAnsi="宋体" w:eastAsia="宋体" w:cs="宋体"/>
                <w:sz w:val="21"/>
                <w:szCs w:val="21"/>
                <w:bdr w:val="none" w:color="auto" w:sz="0" w:space="0"/>
              </w:rPr>
              <w:t>家庭地址</w:t>
            </w:r>
          </w:p>
        </w:tc>
        <w:tc>
          <w:tcPr>
            <w:tcW w:w="3720" w:type="dxa"/>
            <w:gridSpan w:val="5"/>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eastAsia" w:ascii="宋体" w:hAnsi="宋体" w:eastAsia="宋体" w:cs="宋体"/>
                <w:sz w:val="21"/>
                <w:szCs w:val="21"/>
                <w:bdr w:val="none" w:color="auto" w:sz="0" w:space="0"/>
              </w:rPr>
              <w:t>身份证号码</w:t>
            </w:r>
          </w:p>
        </w:tc>
        <w:tc>
          <w:tcPr>
            <w:tcW w:w="2220"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0" w:hRule="atLeast"/>
          <w:jc w:val="center"/>
        </w:trPr>
        <w:tc>
          <w:tcPr>
            <w:tcW w:w="144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center"/>
              <w:rPr>
                <w:sz w:val="21"/>
                <w:szCs w:val="21"/>
              </w:rPr>
            </w:pPr>
            <w:r>
              <w:rPr>
                <w:rFonts w:hint="eastAsia" w:ascii="宋体" w:hAnsi="宋体" w:eastAsia="宋体" w:cs="宋体"/>
                <w:sz w:val="21"/>
                <w:szCs w:val="21"/>
                <w:bdr w:val="none" w:color="auto" w:sz="0" w:space="0"/>
              </w:rPr>
              <w:t>报考学校</w:t>
            </w:r>
          </w:p>
        </w:tc>
        <w:tc>
          <w:tcPr>
            <w:tcW w:w="2490" w:type="dxa"/>
            <w:gridSpan w:val="4"/>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23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rPr>
                <w:sz w:val="21"/>
                <w:szCs w:val="21"/>
              </w:rPr>
            </w:pPr>
            <w:r>
              <w:rPr>
                <w:rFonts w:hint="eastAsia" w:ascii="宋体" w:hAnsi="宋体" w:eastAsia="宋体" w:cs="宋体"/>
                <w:sz w:val="21"/>
                <w:szCs w:val="21"/>
                <w:bdr w:val="none" w:color="auto" w:sz="0" w:space="0"/>
              </w:rPr>
              <w:t>报考岗位</w:t>
            </w:r>
          </w:p>
        </w:tc>
        <w:tc>
          <w:tcPr>
            <w:tcW w:w="3705" w:type="dxa"/>
            <w:gridSpan w:val="4"/>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0" w:hRule="atLeast"/>
          <w:jc w:val="center"/>
        </w:trPr>
        <w:tc>
          <w:tcPr>
            <w:tcW w:w="5145" w:type="dxa"/>
            <w:gridSpan w:val="6"/>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eastAsia" w:ascii="宋体" w:hAnsi="宋体" w:eastAsia="宋体" w:cs="宋体"/>
                <w:sz w:val="21"/>
                <w:szCs w:val="21"/>
                <w:bdr w:val="none" w:color="auto" w:sz="0" w:space="0"/>
              </w:rPr>
              <w:t>相应栏目打</w:t>
            </w:r>
            <w:r>
              <w:rPr>
                <w:rFonts w:ascii="Arial" w:hAnsi="Arial" w:cs="Arial"/>
                <w:sz w:val="21"/>
                <w:szCs w:val="21"/>
                <w:bdr w:val="none" w:color="auto" w:sz="0" w:space="0"/>
              </w:rPr>
              <w:t>√</w:t>
            </w:r>
          </w:p>
        </w:tc>
        <w:tc>
          <w:tcPr>
            <w:tcW w:w="1860" w:type="dxa"/>
            <w:gridSpan w:val="2"/>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eastAsia" w:ascii="宋体" w:hAnsi="宋体" w:eastAsia="宋体" w:cs="宋体"/>
                <w:sz w:val="21"/>
                <w:szCs w:val="21"/>
                <w:bdr w:val="none" w:color="auto" w:sz="0" w:space="0"/>
              </w:rPr>
              <w:t>双一流建设高校</w:t>
            </w:r>
            <w:r>
              <w:rPr>
                <w:rFonts w:ascii="Wingdings 2" w:hAnsi="Wingdings 2" w:eastAsia="Wingdings 2" w:cs="Wingdings 2"/>
                <w:sz w:val="21"/>
                <w:szCs w:val="21"/>
                <w:bdr w:val="none" w:color="auto" w:sz="0" w:space="0"/>
              </w:rPr>
              <w:t>£</w:t>
            </w:r>
          </w:p>
        </w:tc>
        <w:tc>
          <w:tcPr>
            <w:tcW w:w="1860" w:type="dxa"/>
            <w:gridSpan w:val="2"/>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eastAsia" w:ascii="宋体" w:hAnsi="宋体" w:eastAsia="宋体" w:cs="宋体"/>
                <w:sz w:val="21"/>
                <w:szCs w:val="21"/>
                <w:bdr w:val="none" w:color="auto" w:sz="0" w:space="0"/>
              </w:rPr>
              <w:t>双一流建设学科</w:t>
            </w:r>
            <w:r>
              <w:rPr>
                <w:rFonts w:hint="default" w:ascii="Wingdings 2" w:hAnsi="Wingdings 2" w:eastAsia="Wingdings 2" w:cs="Wingdings 2"/>
                <w:sz w:val="21"/>
                <w:szCs w:val="21"/>
                <w:bdr w:val="none" w:color="auto" w:sz="0" w:space="0"/>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0" w:hRule="atLeast"/>
          <w:jc w:val="center"/>
        </w:trPr>
        <w:tc>
          <w:tcPr>
            <w:tcW w:w="2685" w:type="dxa"/>
            <w:gridSpan w:val="3"/>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eastAsia" w:ascii="宋体" w:hAnsi="宋体" w:eastAsia="宋体" w:cs="宋体"/>
                <w:sz w:val="21"/>
                <w:szCs w:val="21"/>
                <w:bdr w:val="none" w:color="auto" w:sz="0" w:space="0"/>
              </w:rPr>
              <w:t>符合报名条件</w:t>
            </w:r>
          </w:p>
        </w:tc>
        <w:tc>
          <w:tcPr>
            <w:tcW w:w="6180" w:type="dxa"/>
            <w:gridSpan w:val="7"/>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rPr>
                <w:sz w:val="21"/>
                <w:szCs w:val="21"/>
              </w:rPr>
            </w:pPr>
            <w:r>
              <w:rPr>
                <w:rFonts w:hint="eastAsia" w:ascii="宋体" w:hAnsi="宋体" w:eastAsia="宋体" w:cs="宋体"/>
                <w:sz w:val="21"/>
                <w:szCs w:val="21"/>
                <w:bdr w:val="none" w:color="auto" w:sz="0" w:space="0"/>
              </w:rPr>
              <w:t>基础课第（ 　　 ）条  　　　专业课第 （ 　   ）条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rPr>
                <w:sz w:val="21"/>
                <w:szCs w:val="21"/>
              </w:rPr>
            </w:pPr>
            <w:r>
              <w:rPr>
                <w:rFonts w:hint="eastAsia" w:ascii="宋体" w:hAnsi="宋体" w:eastAsia="宋体" w:cs="宋体"/>
                <w:sz w:val="21"/>
                <w:szCs w:val="21"/>
                <w:bdr w:val="none" w:color="auto" w:sz="0" w:space="0"/>
              </w:rPr>
              <w:t>特殊教育第（　  　）条      实行指导第（      ）条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251" w:hRule="atLeast"/>
          <w:jc w:val="center"/>
        </w:trPr>
        <w:tc>
          <w:tcPr>
            <w:tcW w:w="144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eastAsia" w:ascii="宋体" w:hAnsi="宋体" w:eastAsia="宋体" w:cs="宋体"/>
                <w:sz w:val="21"/>
                <w:szCs w:val="21"/>
                <w:bdr w:val="none" w:color="auto" w:sz="0" w:space="0"/>
              </w:rPr>
              <w:t>学习简历</w:t>
            </w:r>
          </w:p>
        </w:tc>
        <w:tc>
          <w:tcPr>
            <w:tcW w:w="5985" w:type="dxa"/>
            <w:gridSpan w:val="8"/>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pPr>
          </w:p>
        </w:tc>
        <w:tc>
          <w:tcPr>
            <w:tcW w:w="144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center"/>
              <w:rPr>
                <w:sz w:val="21"/>
                <w:szCs w:val="21"/>
              </w:rPr>
            </w:pPr>
            <w:r>
              <w:rPr>
                <w:rFonts w:hint="eastAsia" w:ascii="宋体" w:hAnsi="宋体" w:eastAsia="宋体" w:cs="宋体"/>
                <w:sz w:val="21"/>
                <w:szCs w:val="21"/>
                <w:bdr w:val="none" w:color="auto" w:sz="0" w:space="0"/>
              </w:rPr>
              <w:t>本人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center"/>
              <w:rPr>
                <w:sz w:val="21"/>
                <w:szCs w:val="21"/>
              </w:rPr>
            </w:pPr>
            <w:r>
              <w:rPr>
                <w:rFonts w:hint="eastAsia" w:ascii="宋体" w:hAnsi="宋体" w:eastAsia="宋体" w:cs="宋体"/>
                <w:sz w:val="21"/>
                <w:szCs w:val="21"/>
                <w:bdr w:val="none" w:color="auto" w:sz="0" w:space="0"/>
              </w:rPr>
              <w:t>证件照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10" w:hRule="atLeast"/>
          <w:jc w:val="center"/>
        </w:trPr>
        <w:tc>
          <w:tcPr>
            <w:tcW w:w="144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eastAsia" w:ascii="宋体" w:hAnsi="宋体" w:eastAsia="宋体" w:cs="宋体"/>
                <w:sz w:val="21"/>
                <w:szCs w:val="21"/>
                <w:bdr w:val="none" w:color="auto" w:sz="0" w:space="0"/>
              </w:rPr>
              <w:t>奖惩情况</w:t>
            </w:r>
          </w:p>
        </w:tc>
        <w:tc>
          <w:tcPr>
            <w:tcW w:w="7425" w:type="dxa"/>
            <w:gridSpan w:val="9"/>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36" w:hRule="atLeast"/>
          <w:jc w:val="center"/>
        </w:trPr>
        <w:tc>
          <w:tcPr>
            <w:tcW w:w="144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eastAsia" w:ascii="宋体" w:hAnsi="宋体" w:eastAsia="宋体" w:cs="宋体"/>
                <w:sz w:val="21"/>
                <w:szCs w:val="21"/>
                <w:bdr w:val="none" w:color="auto" w:sz="0" w:space="0"/>
              </w:rPr>
              <w:t>资格审查情况</w:t>
            </w:r>
          </w:p>
        </w:tc>
        <w:tc>
          <w:tcPr>
            <w:tcW w:w="7425" w:type="dxa"/>
            <w:gridSpan w:val="9"/>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rPr>
                <w:sz w:val="21"/>
                <w:szCs w:val="21"/>
              </w:rPr>
            </w:pPr>
            <w:r>
              <w:rPr>
                <w:rFonts w:hint="eastAsia" w:ascii="宋体" w:hAnsi="宋体" w:eastAsia="宋体" w:cs="宋体"/>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center"/>
              <w:rPr>
                <w:sz w:val="21"/>
                <w:szCs w:val="21"/>
              </w:rPr>
            </w:pPr>
            <w:r>
              <w:rPr>
                <w:rFonts w:hint="eastAsia" w:ascii="宋体" w:hAnsi="宋体" w:eastAsia="宋体" w:cs="宋体"/>
                <w:sz w:val="21"/>
                <w:szCs w:val="21"/>
                <w:bdr w:val="none" w:color="auto" w:sz="0" w:space="0"/>
              </w:rPr>
              <w:t>                                              2020年    月    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41" w:hRule="atLeast"/>
          <w:jc w:val="center"/>
        </w:trPr>
        <w:tc>
          <w:tcPr>
            <w:tcW w:w="144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eastAsia" w:ascii="宋体" w:hAnsi="宋体" w:eastAsia="宋体" w:cs="宋体"/>
                <w:sz w:val="21"/>
                <w:szCs w:val="21"/>
                <w:bdr w:val="none" w:color="auto" w:sz="0" w:space="0"/>
              </w:rPr>
              <w:t>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eastAsia" w:ascii="宋体" w:hAnsi="宋体" w:eastAsia="宋体" w:cs="宋体"/>
                <w:sz w:val="21"/>
                <w:szCs w:val="21"/>
                <w:bdr w:val="none" w:color="auto" w:sz="0" w:space="0"/>
              </w:rPr>
              <w:t>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eastAsia" w:ascii="宋体" w:hAnsi="宋体" w:eastAsia="宋体" w:cs="宋体"/>
                <w:sz w:val="21"/>
                <w:szCs w:val="21"/>
                <w:bdr w:val="none" w:color="auto" w:sz="0" w:space="0"/>
              </w:rPr>
              <w:t>书</w:t>
            </w:r>
          </w:p>
        </w:tc>
        <w:tc>
          <w:tcPr>
            <w:tcW w:w="7425" w:type="dxa"/>
            <w:gridSpan w:val="9"/>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55" w:lineRule="atLeast"/>
              <w:ind w:left="0" w:right="0"/>
              <w:jc w:val="left"/>
              <w:rPr>
                <w:sz w:val="21"/>
                <w:szCs w:val="21"/>
              </w:rPr>
            </w:pPr>
            <w:r>
              <w:rPr>
                <w:rFonts w:hint="eastAsia" w:ascii="宋体" w:hAnsi="宋体" w:eastAsia="宋体" w:cs="宋体"/>
                <w:sz w:val="21"/>
                <w:szCs w:val="21"/>
                <w:bdr w:val="none" w:color="auto" w:sz="0" w:space="0"/>
              </w:rPr>
              <w:t>    我已仔细阅读本次招聘教师的政策与相关信息，理解其内容，并符合应聘岗位条件要求。我郑重承诺：本人所提供的个人信息证明资料、证件等真实、准确，并自觉遵守事业单位公开招聘的各项规定，诚实守信、严守纪律，认真履行应聘人员的义务。对因提供有关信息证件不实或违反有关纪律规定所造成的后果，本人自愿承担相关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rPr>
                <w:sz w:val="21"/>
                <w:szCs w:val="21"/>
              </w:rPr>
            </w:pPr>
            <w:r>
              <w:rPr>
                <w:rFonts w:hint="eastAsia" w:ascii="宋体" w:hAnsi="宋体" w:eastAsia="宋体" w:cs="宋体"/>
                <w:sz w:val="21"/>
                <w:szCs w:val="21"/>
                <w:bdr w:val="none" w:color="auto" w:sz="0" w:space="0"/>
              </w:rPr>
              <w:t>              应聘人员签名：                      （签名需手写）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55" w:lineRule="atLeast"/>
              <w:ind w:left="0" w:right="0"/>
              <w:jc w:val="center"/>
              <w:rPr>
                <w:sz w:val="21"/>
                <w:szCs w:val="21"/>
              </w:rPr>
            </w:pPr>
            <w:r>
              <w:rPr>
                <w:rFonts w:hint="eastAsia" w:ascii="宋体" w:hAnsi="宋体" w:eastAsia="宋体" w:cs="宋体"/>
                <w:sz w:val="21"/>
                <w:szCs w:val="21"/>
                <w:bdr w:val="none" w:color="auto" w:sz="0" w:space="0"/>
              </w:rPr>
              <w:t>                                              2020年    月   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c>
          <w:tcPr>
            <w:tcW w:w="115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c>
          <w:tcPr>
            <w:tcW w:w="10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c>
          <w:tcPr>
            <w:tcW w:w="97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c>
          <w:tcPr>
            <w:tcW w:w="27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c>
          <w:tcPr>
            <w:tcW w:w="123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c>
          <w:tcPr>
            <w:tcW w:w="148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c>
          <w:tcPr>
            <w:tcW w:w="37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c>
          <w:tcPr>
            <w:tcW w:w="42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c>
          <w:tcPr>
            <w:tcW w:w="14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Fonts w:hint="eastAsia" w:ascii="微软雅黑" w:hAnsi="微软雅黑" w:eastAsia="微软雅黑" w:cs="微软雅黑"/>
          <w:i w:val="0"/>
          <w:caps w:val="0"/>
          <w:color w:val="454545"/>
          <w:spacing w:val="0"/>
          <w:sz w:val="21"/>
          <w:szCs w:val="21"/>
          <w:bdr w:val="none" w:color="auto" w:sz="0" w:space="0"/>
        </w:rPr>
        <w:t>说明：报考岗位必须与公布的招聘岗位相一致。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sz w:val="21"/>
          <w:szCs w:val="21"/>
        </w:rPr>
      </w:pPr>
      <w:r>
        <w:rPr>
          <w:rFonts w:hint="eastAsia" w:ascii="微软雅黑" w:hAnsi="微软雅黑" w:eastAsia="微软雅黑" w:cs="微软雅黑"/>
          <w:i w:val="0"/>
          <w:caps w:val="0"/>
          <w:color w:val="454545"/>
          <w:spacing w:val="0"/>
          <w:sz w:val="21"/>
          <w:szCs w:val="21"/>
          <w:bdr w:val="none" w:color="auto" w:sz="0" w:space="0"/>
        </w:rPr>
        <w:t>附件3：</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sz w:val="21"/>
          <w:szCs w:val="21"/>
        </w:rPr>
      </w:pPr>
      <w:r>
        <w:rPr>
          <w:rFonts w:ascii="方正小标宋简体" w:hAnsi="方正小标宋简体" w:eastAsia="方正小标宋简体" w:cs="方正小标宋简体"/>
          <w:i w:val="0"/>
          <w:caps w:val="0"/>
          <w:color w:val="454545"/>
          <w:spacing w:val="0"/>
          <w:sz w:val="36"/>
          <w:szCs w:val="36"/>
          <w:bdr w:val="none" w:color="auto" w:sz="0" w:space="0"/>
        </w:rPr>
        <w:t>疫情防控相关要求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00"/>
        <w:rPr>
          <w:sz w:val="21"/>
          <w:szCs w:val="21"/>
        </w:rPr>
      </w:pPr>
      <w:r>
        <w:rPr>
          <w:rFonts w:hint="eastAsia" w:ascii="仿宋" w:hAnsi="仿宋" w:eastAsia="仿宋" w:cs="仿宋"/>
          <w:i w:val="0"/>
          <w:caps w:val="0"/>
          <w:color w:val="454545"/>
          <w:spacing w:val="0"/>
          <w:sz w:val="30"/>
          <w:szCs w:val="30"/>
          <w:bdr w:val="none" w:color="auto" w:sz="0" w:space="0"/>
        </w:rPr>
        <w:t>1.考生均须提前通过支付宝、浙里办等平台申领“浙江健康码”，于现场报名前2天内如实填报并通过网络提交《考生健康申报表》（扫码填报）。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00"/>
        <w:rPr>
          <w:sz w:val="21"/>
          <w:szCs w:val="21"/>
        </w:rPr>
      </w:pPr>
      <w:r>
        <w:rPr>
          <w:rFonts w:hint="eastAsia" w:ascii="仿宋" w:hAnsi="仿宋" w:eastAsia="仿宋" w:cs="仿宋"/>
          <w:i w:val="0"/>
          <w:caps w:val="0"/>
          <w:color w:val="454545"/>
          <w:spacing w:val="0"/>
          <w:sz w:val="30"/>
          <w:szCs w:val="30"/>
          <w:bdr w:val="none" w:color="auto" w:sz="0" w:space="0"/>
        </w:rPr>
        <w:t>2.至现场报名前14天内来自境外和疫情中高风险地区的考生以及其他非浙江健康码“绿码”的考生，请提前与平湖市教育局工作人员联系咨询，联系电话：0573-85236895。</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00"/>
        <w:rPr>
          <w:sz w:val="21"/>
          <w:szCs w:val="21"/>
        </w:rPr>
      </w:pPr>
      <w:r>
        <w:rPr>
          <w:rFonts w:hint="eastAsia" w:ascii="仿宋" w:hAnsi="仿宋" w:eastAsia="仿宋" w:cs="仿宋"/>
          <w:i w:val="0"/>
          <w:caps w:val="0"/>
          <w:color w:val="454545"/>
          <w:spacing w:val="0"/>
          <w:sz w:val="30"/>
          <w:szCs w:val="30"/>
          <w:bdr w:val="none" w:color="auto" w:sz="0" w:space="0"/>
        </w:rPr>
        <w:t>3.如为既往感染者（确诊病例或无症状感染者）、感染者的密切接触者，请提前与平湖市教育局工作人员联系咨询，联系电话：0573-85236895。</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00"/>
        <w:rPr>
          <w:sz w:val="21"/>
          <w:szCs w:val="21"/>
        </w:rPr>
      </w:pPr>
      <w:r>
        <w:rPr>
          <w:rFonts w:hint="eastAsia" w:ascii="仿宋" w:hAnsi="仿宋" w:eastAsia="仿宋" w:cs="仿宋"/>
          <w:i w:val="0"/>
          <w:caps w:val="0"/>
          <w:color w:val="454545"/>
          <w:spacing w:val="0"/>
          <w:sz w:val="30"/>
          <w:szCs w:val="30"/>
          <w:bdr w:val="none" w:color="auto" w:sz="0" w:space="0"/>
        </w:rPr>
        <w:t>4.考生如出现发热等呼吸道症状或其他身体异常状况的，请提前进行核酸和抗体检测，现场确认时随带检测证明备查。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00"/>
        <w:rPr>
          <w:sz w:val="21"/>
          <w:szCs w:val="21"/>
        </w:rPr>
      </w:pPr>
      <w:r>
        <w:rPr>
          <w:rFonts w:hint="eastAsia" w:ascii="仿宋" w:hAnsi="仿宋" w:eastAsia="仿宋" w:cs="仿宋"/>
          <w:i w:val="0"/>
          <w:caps w:val="0"/>
          <w:color w:val="454545"/>
          <w:spacing w:val="0"/>
          <w:sz w:val="30"/>
          <w:szCs w:val="30"/>
          <w:bdr w:val="none" w:color="auto" w:sz="0" w:space="0"/>
        </w:rPr>
        <w:t>5.考生在办理现场报名手续时，请根据防疫要求，</w:t>
      </w:r>
      <w:r>
        <w:rPr>
          <w:rFonts w:hint="eastAsia" w:ascii="黑体" w:hAnsi="宋体" w:eastAsia="黑体" w:cs="黑体"/>
          <w:i w:val="0"/>
          <w:caps w:val="0"/>
          <w:color w:val="454545"/>
          <w:spacing w:val="0"/>
          <w:sz w:val="30"/>
          <w:szCs w:val="30"/>
          <w:bdr w:val="none" w:color="auto" w:sz="0" w:space="0"/>
          <w:shd w:val="clear" w:fill="E5E5E5"/>
        </w:rPr>
        <w:t>佩戴好口罩，并主动配合工作人员做好进门验码、测温等工作</w:t>
      </w:r>
      <w:r>
        <w:rPr>
          <w:rFonts w:hint="eastAsia" w:ascii="仿宋" w:hAnsi="仿宋" w:eastAsia="仿宋" w:cs="仿宋"/>
          <w:i w:val="0"/>
          <w:caps w:val="0"/>
          <w:color w:val="454545"/>
          <w:spacing w:val="0"/>
          <w:sz w:val="30"/>
          <w:szCs w:val="30"/>
          <w:bdr w:val="none" w:color="auto" w:sz="0" w:space="0"/>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rPr>
          <w:sz w:val="21"/>
          <w:szCs w:val="21"/>
        </w:rPr>
      </w:pPr>
      <w:r>
        <w:rPr>
          <w:rFonts w:hint="eastAsia" w:ascii="仿宋" w:hAnsi="仿宋" w:eastAsia="仿宋" w:cs="仿宋"/>
          <w:i w:val="0"/>
          <w:caps w:val="0"/>
          <w:color w:val="454545"/>
          <w:spacing w:val="0"/>
          <w:sz w:val="30"/>
          <w:szCs w:val="30"/>
          <w:bdr w:val="none" w:color="auto" w:sz="0" w:space="0"/>
        </w:rPr>
        <w:t>6.对于考生刻意隐藏接触史、旅居史，故意谎报病情或拒不执行疫情防控措施的，将严肃追究其法律责任。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45"/>
        <w:rPr>
          <w:sz w:val="21"/>
          <w:szCs w:val="21"/>
        </w:rPr>
      </w:pPr>
      <w:r>
        <w:rPr>
          <w:rFonts w:hint="eastAsia" w:ascii="微软雅黑" w:hAnsi="微软雅黑" w:eastAsia="微软雅黑" w:cs="微软雅黑"/>
          <w:i w:val="0"/>
          <w:caps w:val="0"/>
          <w:color w:val="auto"/>
          <w:spacing w:val="0"/>
          <w:sz w:val="21"/>
          <w:szCs w:val="21"/>
          <w:u w:val="none"/>
          <w:bdr w:val="none" w:color="auto" w:sz="0" w:space="0"/>
        </w:rPr>
        <w:drawing>
          <wp:inline distT="0" distB="0" distL="114300" distR="114300">
            <wp:extent cx="1952625" cy="1952625"/>
            <wp:effectExtent l="0" t="0" r="9525" b="9525"/>
            <wp:docPr id="10" name="图片 10" descr="IMG_257">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MG_257"/>
                    <pic:cNvPicPr>
                      <a:picLocks noChangeAspect="1"/>
                    </pic:cNvPicPr>
                  </pic:nvPicPr>
                  <pic:blipFill>
                    <a:blip r:embed="rId5"/>
                    <a:stretch>
                      <a:fillRect/>
                    </a:stretch>
                  </pic:blipFill>
                  <pic:spPr>
                    <a:xfrm>
                      <a:off x="0" y="0"/>
                      <a:ext cx="1952625" cy="1952625"/>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1500"/>
        <w:rPr>
          <w:sz w:val="21"/>
          <w:szCs w:val="21"/>
        </w:rPr>
      </w:pPr>
      <w:r>
        <w:rPr>
          <w:rFonts w:hint="eastAsia" w:ascii="微软雅黑" w:hAnsi="微软雅黑" w:eastAsia="微软雅黑" w:cs="微软雅黑"/>
          <w:i w:val="0"/>
          <w:caps w:val="0"/>
          <w:color w:val="454545"/>
          <w:spacing w:val="0"/>
          <w:sz w:val="30"/>
          <w:szCs w:val="30"/>
          <w:bdr w:val="none" w:color="auto" w:sz="0" w:space="0"/>
        </w:rPr>
        <w:t>考生健康申报表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小标宋">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å¾®è½¯é›…é»‘">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å®‹ä½“">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Wingdings 2">
    <w:altName w:val="Wingdings"/>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方正小标宋简体">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3067B5"/>
    <w:rsid w:val="64306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hyperlink" Target="http://www.pinghu.gov.cn/picture/0/2011191538138475332.png" TargetMode="Externa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2020-11-19T09:31:00Z</dcterms:created>
  <dc:creator>Administrator</dc:creator>
  <cp:lastModifiedBy>Administrator</cp:lastModifiedBy>
  <dcterms:modified xsi:type="dcterms:W3CDTF">2020-11-19T11:44:46Z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