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both"/>
        <w:rPr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1757"/>
        <w:jc w:val="center"/>
        <w:rPr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center"/>
        <w:rPr>
          <w:sz w:val="24"/>
          <w:szCs w:val="24"/>
        </w:rPr>
      </w:pPr>
      <w:r>
        <w:rPr>
          <w:rFonts w:ascii="serif" w:hAnsi="serif" w:eastAsia="serif" w:cs="serif"/>
          <w:i w:val="0"/>
          <w:caps w:val="0"/>
          <w:color w:val="000000"/>
          <w:spacing w:val="0"/>
          <w:sz w:val="48"/>
          <w:szCs w:val="48"/>
          <w:bdr w:val="none" w:color="auto" w:sz="0" w:space="0"/>
          <w:shd w:val="clear" w:fill="FFFFFF"/>
        </w:rPr>
        <w:t>2020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8"/>
          <w:szCs w:val="48"/>
          <w:bdr w:val="none" w:color="auto" w:sz="0" w:space="0"/>
          <w:shd w:val="clear" w:fill="FFFFFF"/>
        </w:rPr>
        <w:t>年枣庄高新区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center"/>
        <w:rPr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8"/>
          <w:szCs w:val="48"/>
          <w:bdr w:val="none" w:color="auto" w:sz="0" w:space="0"/>
          <w:shd w:val="clear" w:fill="FFFFFF"/>
        </w:rPr>
        <w:t>第二批青年人才优选专业分类目录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left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  一、硕士需符合以下一级学科专业要求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both"/>
        <w:rPr>
          <w:sz w:val="24"/>
          <w:szCs w:val="24"/>
        </w:rPr>
      </w:pP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理论经济学、应用经济学、法学、机械工程、光学工程、仪器科学与技术、材料科学与工程、动力工程及工程热物理、电子科学与技术、信息与通信工程、控制科学与工程、计算机科学与技术、化学工程与技术、生物医学工程、软件工程、工商管理、兽医学（基础兽医学、预防兽医、临床兽医学方向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二、本科生需符合以下一级学科专业要求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 经济学类、财政学类、金融学类、经济与贸易类、法学类、机械类、仪器类、能源动力类、电气类、电子信息类、自动化类、计算机类、化工与制药类、生物医学工程类、建筑类、工商管理类、工业工程类、电子商务类,动物医学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/>
        <w:rPr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238D1"/>
    <w:rsid w:val="4C82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2020-11-21T00:44:00Z</dcterms:created>
  <dc:creator>枣庄公考小助手</dc:creator>
  <cp:lastModifiedBy>枣庄公考小助手</cp:lastModifiedBy>
  <dcterms:modified xsi:type="dcterms:W3CDTF">2020-11-21T00:45:26Z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