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20" w:lineRule="atLeast"/>
        <w:ind w:left="0" w:firstLine="627"/>
        <w:jc w:val="left"/>
        <w:rPr>
          <w:rFonts w:ascii="Segoe UI" w:hAnsi="Segoe UI" w:eastAsia="Segoe UI" w:cs="Segoe UI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6"/>
          <w:szCs w:val="16"/>
          <w:shd w:val="clear" w:fill="FFFFFF"/>
        </w:rPr>
        <w:t>招聘岗位、职数及岗位要求</w:t>
      </w:r>
    </w:p>
    <w:tbl>
      <w:tblPr>
        <w:tblW w:w="89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878"/>
        <w:gridCol w:w="66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 w:line="520" w:lineRule="atLeast"/>
              <w:jc w:val="center"/>
            </w:pPr>
            <w:r>
              <w:rPr>
                <w:rFonts w:ascii="黑体" w:hAnsi="宋体" w:eastAsia="黑体" w:cs="黑体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 w:line="520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职数</w:t>
            </w:r>
          </w:p>
        </w:tc>
        <w:tc>
          <w:tcPr>
            <w:tcW w:w="6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 w:line="520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内务管理</w:t>
            </w: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1.年龄在30周岁以下（即1990年11月1日以后出生）；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2.大专及以上学历，专业不限，工作满2年（截止2020年11月1日）；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3.余姚市户籍（以2020年11月1日户口所在地为准）。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数据统计</w:t>
            </w: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1.年龄在30周岁以下（即1990年11月1日以后出生）；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2.大专及以上学历，统计学、会计学、财务管理相关专业；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3.余姚市户籍（以2020年11月1日户口所在地为准）。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协助执法</w:t>
            </w: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1.年龄在40周岁以下（即1980年11月1日以后出生）；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2.大专及以上学历，计算机、法律相关专业；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3.余姚市户籍（以2020年11月1日户口所在地为准）。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D73F5"/>
    <w:rsid w:val="0C54129F"/>
    <w:rsid w:val="188F34CD"/>
    <w:rsid w:val="703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卜荣荣</cp:lastModifiedBy>
  <dcterms:modified xsi:type="dcterms:W3CDTF">2020-11-25T06:55:33Z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