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4770AD"/>
          <w:spacing w:val="0"/>
          <w:sz w:val="27"/>
          <w:szCs w:val="27"/>
          <w:shd w:val="clear" w:fill="FFFFFF"/>
        </w:rPr>
        <w:t>成都市城市建设档案馆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招聘岗位及条件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： </w:t>
      </w:r>
    </w:p>
    <w:tbl>
      <w:tblPr>
        <w:tblW w:w="96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850"/>
        <w:gridCol w:w="2145"/>
        <w:gridCol w:w="2850"/>
        <w:gridCol w:w="23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招聘岗位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招聘人数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学历学位</w:t>
            </w:r>
          </w:p>
        </w:tc>
        <w:tc>
          <w:tcPr>
            <w:tcW w:w="2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专业要求</w:t>
            </w:r>
          </w:p>
        </w:tc>
        <w:tc>
          <w:tcPr>
            <w:tcW w:w="2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年龄要求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档案管理岗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普通高等教育硕士研究生，取得学历相应学位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图书、情报与档案学及相关专业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1994年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日及以后出生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城建档案信息化岗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普通高等教育硕士研究生，取得学历相应学位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计算机科学与技术类、软件工程类、信息与通信工程类、电子科学与技术类及相关专业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1994年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日及以后出生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声像拍摄与制作岗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普通高等教育硕士研究生，取得学历相应学位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广播电视学、电影学、新闻学、戏剧与影视学及相关专业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等线" w:hAnsi="等线" w:eastAsia="等线" w:cs="等线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1994年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日及以后出生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3730D"/>
    <w:rsid w:val="5A237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2020-12-03T00:49:00Z</dcterms:created>
  <dc:creator>ASUS</dc:creator>
  <cp:lastModifiedBy>ASUS</cp:lastModifiedBy>
  <dcterms:modified xsi:type="dcterms:W3CDTF">2020-12-03T00:50:12Z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