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left"/>
        <w:rPr>
          <w:rFonts w:hint="eastAsia" w:ascii="黑体" w:hAnsi="宋体" w:eastAsia="黑体" w:cs="黑体"/>
          <w:b w:val="0"/>
          <w:i w:val="0"/>
          <w:caps w:val="0"/>
          <w:color w:val="302A2C"/>
          <w:spacing w:val="0"/>
          <w:sz w:val="28"/>
          <w:szCs w:val="28"/>
          <w:shd w:val="clear" w:fill="FFFFFF"/>
          <w:lang w:val="en-US" w:eastAsia="zh-CN"/>
        </w:rPr>
      </w:pPr>
      <w:bookmarkStart w:id="0" w:name="_GoBack"/>
      <w:bookmarkEnd w:id="0"/>
      <w:r>
        <w:rPr>
          <w:rFonts w:hint="eastAsia" w:ascii="黑体" w:eastAsia="黑体" w:cs="黑体"/>
          <w:b w:val="0"/>
          <w:i w:val="0"/>
          <w:caps w:val="0"/>
          <w:color w:val="302A2C"/>
          <w:spacing w:val="0"/>
          <w:sz w:val="28"/>
          <w:szCs w:val="28"/>
          <w:shd w:val="clear" w:fill="FFFFFF"/>
          <w:lang w:eastAsia="zh-CN"/>
        </w:rPr>
        <w:t>附件</w:t>
      </w:r>
      <w:r>
        <w:rPr>
          <w:rFonts w:hint="eastAsia" w:ascii="黑体" w:eastAsia="黑体" w:cs="黑体"/>
          <w:b w:val="0"/>
          <w:i w:val="0"/>
          <w:caps w:val="0"/>
          <w:color w:val="302A2C"/>
          <w:spacing w:val="0"/>
          <w:sz w:val="28"/>
          <w:szCs w:val="28"/>
          <w:shd w:val="clear" w:fill="FFFFFF"/>
          <w:lang w:val="en-US" w:eastAsia="zh-CN"/>
        </w:rPr>
        <w:t>3</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华文中宋" w:hAnsi="华文中宋" w:eastAsia="华文中宋" w:cs="华文中宋"/>
          <w:b/>
          <w:bCs/>
          <w:i w:val="0"/>
          <w:caps w:val="0"/>
          <w:color w:val="302A2C"/>
          <w:spacing w:val="0"/>
          <w:sz w:val="36"/>
          <w:szCs w:val="36"/>
        </w:rPr>
      </w:pPr>
      <w:r>
        <w:rPr>
          <w:rFonts w:hint="eastAsia" w:ascii="华文中宋" w:hAnsi="华文中宋" w:eastAsia="华文中宋" w:cs="华文中宋"/>
          <w:b/>
          <w:bCs/>
          <w:i w:val="0"/>
          <w:caps w:val="0"/>
          <w:color w:val="302A2C"/>
          <w:spacing w:val="0"/>
          <w:sz w:val="36"/>
          <w:szCs w:val="36"/>
          <w:shd w:val="clear" w:fill="FFFFFF"/>
        </w:rPr>
        <w:t>事业单位公开招聘违纪违规行为处理规定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rPr>
        <w:t>总 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jc w:val="both"/>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第一条 为加强事业单位公开招聘工作管理，规范公开招聘违纪违规行为的认定与处理，保证招聘工作公开、公平、公正，根据《事业单位人事管理条例》等有关规定，制定本规定。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第二条 事业单位公开招聘中违纪违规行为的认定与处理，适用本规定。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第三条 认定与处理公开招聘违纪违规行为，应当事实清楚、证据确凿、程序规范、适用规定准确。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第四条 中央事业单位人事综合管理部门负责全国事业单位公开招聘工作的综合管理与监督。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各级事业单位人事综合管理部门、事业单位主管部门、招聘单位按照事业单位公开招聘管理权限，依据本规定对公开招聘违纪违规行为进行认定与处理。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第二章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应聘人员违纪违规行为处理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第五条 应聘人员在报名过程中有下列违纪违规行为之一的，取消其本次应聘资格：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（一）伪造、涂改证件、证明等报名材料，或者以其他不正当手段获取应聘资格的；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（二）提供的涉及报考资格的申请材料或者信息不实，且影响报名审核结果的；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（三）其他应当取消其本次应聘资格的违纪违规行为。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第六条 应聘人员在考试过程中有下列违纪违规行为之一的，给予其当次该科目考试成绩无效的处理：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（一）携带规定以外的物品进入考场且未按要求放在指定位置，经提醒仍不改正的；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（二）未在规定座位参加考试，或者未经考试工作人员允许擅自离开座位或者考场，经提醒仍不改正的；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（三）经提醒仍不按规定填写、填涂本人信息的；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（四）在试卷、答题纸、答题卡规定以外位置标注本人信息或者其他特殊标记的；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（五）在考试开始信号发出前答题，或者在考试结束信号发出后继续答题，经提醒仍不停止的；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（六）将试卷、答题卡、答题纸带出考场，或者故意损坏试卷、答题卡、答题纸及考试相关设施设备的；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（七）其他应当给予当次该科目考试成绩无效处理的违纪违规行为。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第七条 应聘人员在考试过程中有下列严重违纪违规行为之一的，给予其当次全部科目考试成绩无效的处理，并将其违纪违规行为记入事业单位公开招聘应聘人员诚信档案库，记录期限为五年：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（一）抄袭、协助他人抄袭的；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（二）互相传递试卷、答题纸、答题卡、草稿纸等的；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（三）持伪造证件参加考试的；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（四）使用禁止带入考场的通讯工具、规定以外的电子用品的；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（五）本人离开考场后，在本场考试结束前，传播考试试题及答案的；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（六）其他应当给予当次全部科目考试成绩无效处理并记入事业单位公开招聘应聘人员诚信档案库的严重违纪违规行为。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第八条 应聘人员有下列特别严重违纪违规行为之一的，给予其当次全部科目考试成绩无效的处理，并将其违纪违规行为记入事业单位公开招聘应聘人员诚信档案库，长期记录：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（一）串通作弊或者参与有组织作弊的；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（二）代替他人或者让他人代替自己参加考试的；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（三）其他应当给予当次全部科目考试成绩无效处理并记入事业单位公开招聘应聘人员诚信档案库的特别严重的违纪违规行为。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（一）故意扰乱考点、考场以及其他招聘工作场所秩序的；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（二）拒绝、妨碍工作人员履行管理职责的；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（三）威胁、侮辱、诽谤、诬陷工作人员或者其他应聘人员的；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（四）其他扰乱招聘工作秩序的违纪违规行为。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应聘人员之间同一科目作答内容雷同，并有其他相关证据证明其违纪违规行为成立的，视具体情形按照本规定第七条、第八条处理。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第三章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招聘单位和招聘工作人员违纪违规行为处理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（一）未按规定权限和程序核准（备案）招聘方案，擅自组织公开招聘的；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（二）设置与岗位无关的指向性或者限制性条件的；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（三）未按规定发布招聘公告的；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（四）招聘公告发布后，擅自变更招聘程序、岗位条件、招聘人数、考试考察方式等的；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（五）未按招聘条件进行资格审查的；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（六）未按规定组织体检的；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（七）未按规定公示拟聘用人员名单的；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（八）其他应当责令改正的违纪违规行为。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第十六条 招聘工作人员有下列行为之一的，由相关部门给予处分，并停止其继续参加当年及下一年度招聘工作：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（一）擅自提前考试开始时间、推迟考试结束时间及缩短考试时间的；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（二）擅自为应聘人员调换考场或者座位的；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（三）未准确记录考场情况及违纪违规行为，并造成一定影响的；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（四）未执行回避制度的；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（五）其他一般违纪违规行为。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第十七条 招聘工作人员有下列行为之一的，由相关部门给予处分，并将其调离招聘工作岗位，不得再从事招聘工作；构成犯罪的，依法追究刑事责任：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（一）指使、纵容他人作弊，或者在考试、考察、体检过程中参与作弊的；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（二）在保密期限内，泄露考试试题、面试评分要素等应当保密的信息的；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（三）擅自更改考试评分标准或者不按评分标准进行评卷的；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（四）监管不严，导致考场出现大面积作弊现象的；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（五）玩忽职守，造成不良影响的；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（六）其他严重违纪违规行为。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第四章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处理程序</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对应聘人员违纪违规行为作出处理决定的，应当制作公开招聘违纪违规行为处理决定书，依法送达被处理的应聘人员。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第二十条 应聘人员对处理决定不服的，可以依法申请行政复议或者提起行政诉讼。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r>
        <w:rPr>
          <w:rFonts w:hint="eastAsia" w:ascii="仿宋_GB2312" w:hAnsi="仿宋_GB2312" w:eastAsia="仿宋_GB2312" w:cs="仿宋_GB2312"/>
          <w:i w:val="0"/>
          <w:caps w:val="0"/>
          <w:color w:val="2B2B2B"/>
          <w:spacing w:val="0"/>
          <w:sz w:val="32"/>
          <w:szCs w:val="32"/>
          <w:shd w:val="clear" w:fill="FFFFFF"/>
        </w:rPr>
        <w:t>第二十一条 参与公开招聘的工作人员对因违纪违规行为受到处分不服的，可以依法申请复核或者提出申诉。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i w:val="0"/>
          <w:caps w:val="0"/>
          <w:color w:val="2B2B2B"/>
          <w:spacing w:val="0"/>
          <w:sz w:val="32"/>
          <w:szCs w:val="32"/>
          <w:shd w:val="clear" w:fill="FFFFFF"/>
        </w:rPr>
      </w:pPr>
      <w:r>
        <w:rPr>
          <w:rFonts w:hint="eastAsia" w:ascii="仿宋_GB2312" w:hAnsi="仿宋_GB2312" w:eastAsia="仿宋_GB2312" w:cs="仿宋_GB2312"/>
          <w:b/>
          <w:i w:val="0"/>
          <w:caps w:val="0"/>
          <w:color w:val="2B2B2B"/>
          <w:spacing w:val="0"/>
          <w:sz w:val="32"/>
          <w:szCs w:val="32"/>
          <w:shd w:val="clear" w:fill="FFFFFF"/>
          <w:lang w:eastAsia="zh-CN"/>
        </w:rPr>
        <w:t>第五章</w:t>
      </w:r>
      <w:r>
        <w:rPr>
          <w:rFonts w:hint="eastAsia" w:ascii="仿宋_GB2312" w:hAnsi="仿宋_GB2312" w:eastAsia="仿宋_GB2312" w:cs="仿宋_GB2312"/>
          <w:b/>
          <w:i w:val="0"/>
          <w:caps w:val="0"/>
          <w:color w:val="2B2B2B"/>
          <w:spacing w:val="0"/>
          <w:sz w:val="32"/>
          <w:szCs w:val="32"/>
          <w:shd w:val="clear" w:fill="FFFFFF"/>
          <w:lang w:val="en-US" w:eastAsia="zh-CN"/>
        </w:rPr>
        <w:t xml:space="preserve">  </w:t>
      </w:r>
      <w:r>
        <w:rPr>
          <w:rFonts w:hint="eastAsia" w:ascii="仿宋_GB2312" w:hAnsi="仿宋_GB2312" w:eastAsia="仿宋_GB2312" w:cs="仿宋_GB2312"/>
          <w:b/>
          <w:i w:val="0"/>
          <w:caps w:val="0"/>
          <w:color w:val="2B2B2B"/>
          <w:spacing w:val="0"/>
          <w:sz w:val="32"/>
          <w:szCs w:val="32"/>
          <w:shd w:val="clear" w:fill="FFFFFF"/>
        </w:rPr>
        <w:t>附 则</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420" w:leftChars="0" w:right="0" w:rightChars="0"/>
        <w:textAlignment w:val="auto"/>
        <w:outlineLvl w:val="9"/>
        <w:rPr>
          <w:rFonts w:hint="eastAsia" w:ascii="仿宋_GB2312" w:hAnsi="仿宋_GB2312" w:eastAsia="仿宋_GB2312" w:cs="仿宋_GB2312"/>
          <w:b/>
          <w:i w:val="0"/>
          <w:caps w:val="0"/>
          <w:color w:val="2B2B2B"/>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textAlignment w:val="auto"/>
        <w:outlineLvl w:val="9"/>
        <w:rPr>
          <w:rFonts w:hint="eastAsia" w:ascii="仿宋_GB2312" w:hAnsi="仿宋_GB2312" w:eastAsia="仿宋_GB2312" w:cs="仿宋_GB2312"/>
          <w:i w:val="0"/>
          <w:caps w:val="0"/>
          <w:color w:val="2B2B2B"/>
          <w:spacing w:val="0"/>
          <w:sz w:val="32"/>
          <w:szCs w:val="32"/>
        </w:rPr>
      </w:pPr>
      <w:r>
        <w:rPr>
          <w:rFonts w:hint="eastAsia" w:ascii="仿宋_GB2312" w:hAnsi="仿宋_GB2312" w:eastAsia="仿宋_GB2312" w:cs="仿宋_GB2312"/>
          <w:i w:val="0"/>
          <w:caps w:val="0"/>
          <w:color w:val="2B2B2B"/>
          <w:spacing w:val="0"/>
          <w:sz w:val="32"/>
          <w:szCs w:val="32"/>
          <w:shd w:val="clear" w:fill="FFFFFF"/>
        </w:rPr>
        <w:t>第二十二条 本规定自2018年1月1日起施行。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378F0"/>
    <w:multiLevelType w:val="singleLevel"/>
    <w:tmpl w:val="5FC378F0"/>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7671FA"/>
    <w:rsid w:val="128070F1"/>
    <w:rsid w:val="557671FA"/>
    <w:rsid w:val="5D3C6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2020-11-29T10:27:00Z</dcterms:created>
  <dc:creator>李勇</dc:creator>
  <cp:lastModifiedBy>ぺ灬cc果冻ル</cp:lastModifiedBy>
  <dcterms:modified xsi:type="dcterms:W3CDTF">2020-12-04T05:55:53Z</dcterms:modified>
  <dc:title>事业单位公开招聘违纪违规行为处理规定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