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</w:rPr>
      </w:pPr>
      <w:bookmarkStart w:id="0" w:name="_GoBack"/>
      <w:r>
        <w:rPr>
          <w:rFonts w:ascii="黑体" w:hAnsi="宋体" w:eastAsia="黑体" w:cs="黑体"/>
          <w:i w:val="0"/>
          <w:caps w:val="0"/>
          <w:color w:val="3F3F3F"/>
          <w:spacing w:val="0"/>
          <w:sz w:val="25"/>
          <w:szCs w:val="25"/>
          <w:bdr w:val="none" w:color="auto" w:sz="0" w:space="0"/>
          <w:shd w:val="clear" w:fill="FFFFFF"/>
        </w:rPr>
        <w:t>招聘计划、岗位要求及简历投递邮箱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351"/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</w:rPr>
      </w:pPr>
      <w:r>
        <w:rPr>
          <w:rFonts w:hint="eastAsia" w:ascii="黑体" w:hAnsi="宋体" w:eastAsia="黑体" w:cs="黑体"/>
          <w:i w:val="0"/>
          <w:caps w:val="0"/>
          <w:color w:val="3F3F3F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959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845"/>
        <w:gridCol w:w="2639"/>
        <w:gridCol w:w="734"/>
        <w:gridCol w:w="1886"/>
        <w:gridCol w:w="1941"/>
        <w:gridCol w:w="18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ascii="华文中宋" w:hAnsi="华文中宋" w:eastAsia="华文中宋" w:cs="华文中宋"/>
                <w:i w:val="0"/>
                <w:caps w:val="0"/>
                <w:color w:val="3F3F3F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F3F3F"/>
                <w:spacing w:val="0"/>
                <w:sz w:val="30"/>
                <w:szCs w:val="30"/>
                <w:bdr w:val="none" w:color="auto" w:sz="0" w:space="0"/>
              </w:rPr>
              <w:t>2021届校园招聘计划表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其他要求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简历投递邮箱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水工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水利水电工程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本科为水利水电工程专业优先。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sgzp1@ynwdi.com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本科为水利水电工程专业优先。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建筑学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经济评价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水利水电经济评价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本科为农业水利工程、水利水电工程经济类专业优先。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金结结构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机械电子、机械制造及自动化、机械工程及自动化、水利水电工程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硕士研究生优先。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jjzp1@ynwdi.com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水机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能源与动力工程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sjzp1@ynwdi.com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电气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信息与通讯工程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dqzp1@ynwdi.com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地质技术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地质工程（含岩土工程、工程地质及资源勘察等）、地下水科学与工程及相近专业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本科专业为地质工程或通过注册岩土基础考试者优先。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dzzp1@ynwdi.com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7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物探技术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工程勘察技术（物探方向）、应用地球物理勘探专业、勘查（察）技术与工程物探专业、地质工程（物探方向）、地球物理专业等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本科专业为工程勘察技术（物探方向）、应用地球物理勘探专业、勘查（察）技术与工程物探专业、地质工程（物探方向）、地球物理专业等，具有工程物探相关专业注册资格证者优先。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wtzp1@ynwdi.com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8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测绘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测绘类（测绘工程、GIS、摄影测量与遥感、大地测量等）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研究方向摄影测量与遥感、测绘工程、大地测量、激光点云数据处理、变形监测专业者优先；具有注册测绘师资格证书优先。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chzp1@ynwdi.com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研究方向摄影测量与遥感、测绘工程、大地测量、激光点云数据处理、变形监测专业者优先。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运行维护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计算机、软件工程、网络工程类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itzp1@ynwdi.com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水资源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水文学及水资源、水利工程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有水文计算工作经验者优先。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szyzp1@ynwdi.com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水景观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水力学及河流动力学、港口航道及海岸工程、水利工程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研究方向为水动力、水环境或泥沙数值模拟方向；本科为水利水电工程、水文水资源、治河工程专业者优先；有项目经验者优先。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sjgzp1@ynwdi.com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风景园林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风景园林专业及城规、环艺、建筑学等相关专业本科及以上学历；有湿地、湖泊、河流保护治理项目经验者优先。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12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水环境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环境工程、给排水科学与工程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环境工程专业及给排水科学与工程等相关专业；研究方向为污水资源化利用、面源低污染水处理；有水环境治理项目经验者优先。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shjzp1@ynwdi.com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环境科学、水文学及水资源、水利工程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环境科学专业及水文学及水资源、水利工程等相关专业；研究方向为水环境污染防治、水环境规划；有水污染防治规划、水环境治理规划等项目经验者优先。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D0D0D"/>
                <w:spacing w:val="0"/>
                <w:sz w:val="17"/>
                <w:szCs w:val="17"/>
                <w:bdr w:val="none" w:color="auto" w:sz="0" w:space="0"/>
              </w:rPr>
              <w:t>水生态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生态学、湿地生态学、植物学、林业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生态学、植物学、林业等相关专业本科及以上学历；有湿地、湖泊、河流保护治理项目经验者优先。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sstzp1@ynwdi.com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水利水电工程、土木水利、水利工程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大学本科及以上（985、211院校优先）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研究方向为生态水利工程、河道综合治理；有项目经验者优先。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规划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水文与水资源工程、港口航道及海岸工程、大气科学、应用气象学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水文模型研究方向，相关专业注册类考试基础通过者优先。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Malgun Gothic" w:hAnsi="Malgun Gothic" w:eastAsia="Malgun Gothic" w:cs="Malgun Gothic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ghzp1@ynwdi.com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相关专业注册类考试基础通过者优先。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水利水电工程、农业水利工程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相关专业注册类考试基础通过者优先。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大学本科及以上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相关专业注册类考试基础通过者优先。</w:t>
            </w:r>
          </w:p>
        </w:tc>
        <w:tc>
          <w:tcPr>
            <w:tcW w:w="21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合计：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 w:firstLine="420"/>
              <w:jc w:val="center"/>
              <w:textAlignment w:val="center"/>
              <w:rPr>
                <w:color w:val="3F3F3F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sz w:val="17"/>
                <w:szCs w:val="17"/>
                <w:bdr w:val="none" w:color="auto" w:sz="0" w:space="0"/>
              </w:rPr>
              <w:t>75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463"/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1528"/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F3F3F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1528"/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17"/>
          <w:szCs w:val="17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F3F3F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6C24"/>
    <w:rsid w:val="217F6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2020-12-11T07:12:00Z</dcterms:created>
  <dc:creator>ASUS</dc:creator>
  <cp:lastModifiedBy>ASUS</cp:lastModifiedBy>
  <dcterms:modified xsi:type="dcterms:W3CDTF">2020-12-11T07:12:45Z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