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left="0" w:leftChars="0" w:firstLine="0" w:firstLineChars="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宋体" w:hAnsi="宋体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湖南工艺美术职业学院2020年高层次人才公开招聘岗位、计划及条件一览表</w:t>
      </w:r>
    </w:p>
    <w:tbl>
      <w:tblPr>
        <w:tblStyle w:val="6"/>
        <w:tblW w:w="138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868"/>
        <w:gridCol w:w="3630"/>
        <w:gridCol w:w="730"/>
        <w:gridCol w:w="3544"/>
        <w:gridCol w:w="1339"/>
        <w:gridCol w:w="2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  门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/学位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视觉传播设计学院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电子商务艺术设计专任教师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1305设计学、0812计算机科学与技术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具有五年及以上工作经历的副教授及以上教师系列职称者学历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放宽至本科，放宽后本科的专业要求为：1305 设计学类、080901 计算机科学与技术、120801 电子商务。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新媒体设计专任教师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包装艺术设计专任教师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手工艺术学院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首饰设计与工艺专任教师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雕刻设计与工艺专任教师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具有五年及以上工作经历的副教授及以上教师系列职称者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具有省级以上工艺美术大师称号者学历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放宽至本科，放宽后本科的专业要求为：1305设计学类、1304美术学类。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陶瓷设计与工艺专任教师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数字艺术学院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数字媒体艺术设计专任教师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动漫设计专任教师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有五年及以上工作经历的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副教授及以上教师系列职称者学历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放宽至本科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，放宽后本科的专业要求为：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1305 设计学类、1304 美术学类。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游戏设计专任教师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环境艺术设计学院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环境艺术设计专任教师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室内艺术设计专任教师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建筑设计专任教师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0813建筑学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五年及以上工作经历的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副教授及以上教师系列职称者学历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放宽至本科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，放宽后本科的专业要求为：0828建筑类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4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服装艺术设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计学院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服装设计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有五年及以上工作经历的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副教授及以上教师系列职称者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具有全国十佳设计师称号者学历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放宽至本科，放宽后本科的专业要求为：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1305 设计学类、1304 美术学类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服装设计与工程（服装智能方向）专任教师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4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箱包、鞋品专任教师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00" w:firstLineChars="300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限高校毕业生报名。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思政课专任教师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01哲学、03法学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五年及以上工作经历的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副教授及以上教师系列职称者学历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放宽至本科，放宽后本科的专业要求为：01哲学、0305 马克思主义理论类、03法学。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全校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艺术类专任教师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1305设计学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、1304 美术学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入选湖南省“湖湘青年英才”支持计划或湖南省湖湘青年学者或湖南省教学名师或湖南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省121创新人才培养工程等省级人才项目者学历学位放宽至本科，放宽后本科的专业要求为：1305 设计学类、1304 美术学类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815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：1、教授、国大师、入选省级人才项目者52岁以下（1968年1月1日后出生），省大师48岁以下（1972年1月1日后出生），副教授、全国十佳设计师45岁以下（1975年1月1日后出生），博士40岁以下（1980年1月1日后出生）。</w:t>
            </w:r>
          </w:p>
          <w:p>
            <w:pPr>
              <w:ind w:firstLine="600" w:firstLineChars="300"/>
              <w:jc w:val="left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2.高校毕业生指2018、2019和2020届未落实工作单位的毕业生。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ind w:firstLine="1405" w:firstLineChars="500"/>
        <w:rPr>
          <w:rFonts w:ascii="宋体" w:hAnsi="宋体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宋体" w:hAnsi="宋体" w:eastAsia="宋体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97E82"/>
    <w:rsid w:val="00060767"/>
    <w:rsid w:val="003120E5"/>
    <w:rsid w:val="00557563"/>
    <w:rsid w:val="00942504"/>
    <w:rsid w:val="00BB7A77"/>
    <w:rsid w:val="032500DE"/>
    <w:rsid w:val="15B97E82"/>
    <w:rsid w:val="1E871262"/>
    <w:rsid w:val="29854F61"/>
    <w:rsid w:val="34021B3A"/>
    <w:rsid w:val="38AD5748"/>
    <w:rsid w:val="3C3454F2"/>
    <w:rsid w:val="54FD7764"/>
    <w:rsid w:val="55C06AAB"/>
    <w:rsid w:val="68761AF3"/>
    <w:rsid w:val="754C07EB"/>
    <w:rsid w:val="7AD7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238</Words>
  <Characters>1363</Characters>
  <Lines>11</Lines>
  <Paragraphs>3</Paragraphs>
  <TotalTime>29</TotalTime>
  <ScaleCrop>false</ScaleCrop>
  <LinksUpToDate>false</LinksUpToDate>
  <CharactersWithSpaces>1598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2020-12-16T07:16:00Z</dcterms:created>
  <dc:creator>✨吴萌萌</dc:creator>
  <cp:lastModifiedBy>公开招聘初审</cp:lastModifiedBy>
  <cp:lastPrinted>2020-12-16T09:16:34Z</cp:lastPrinted>
  <dcterms:modified xsi:type="dcterms:W3CDTF">2020-12-16T09:28:26Z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