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</w:rPr>
        <w:t>鼎湖区交通运输局关于公开招聘机关雇员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953"/>
        <w:gridCol w:w="1040"/>
        <w:gridCol w:w="665"/>
        <w:gridCol w:w="1166"/>
        <w:gridCol w:w="2181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95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102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岗位简介</w:t>
            </w:r>
          </w:p>
        </w:tc>
        <w:tc>
          <w:tcPr>
            <w:tcW w:w="66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17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217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88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4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01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管理综合岗位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负责交通综合管理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全日制本科毕业生，具有学士学位。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土木工程（B081101），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园林（B090502），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交通运输（B081901）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　　25周岁以下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75319"/>
    <w:rsid w:val="34675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2020-12-25T12:55:00Z</dcterms:created>
  <dc:creator>ASUS</dc:creator>
  <cp:lastModifiedBy>ASUS</cp:lastModifiedBy>
  <dcterms:modified xsi:type="dcterms:W3CDTF">2020-12-25T12:55:34Z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