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64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见下表：</w:t>
      </w:r>
    </w:p>
    <w:tbl>
      <w:tblPr>
        <w:tblW w:w="899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1"/>
        <w:gridCol w:w="935"/>
        <w:gridCol w:w="890"/>
        <w:gridCol w:w="1041"/>
        <w:gridCol w:w="2233"/>
        <w:gridCol w:w="27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其他要求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辅导员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不超过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20人</w:t>
            </w:r>
          </w:p>
        </w:tc>
        <w:tc>
          <w:tcPr>
            <w:tcW w:w="7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研究生学历、博士学位</w:t>
            </w:r>
          </w:p>
        </w:tc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1.中共党员（含预备党员）；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2.年龄32周岁以下，即1989年1月1日（含）以后出生。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1.具有1年（含）以上学生专（兼）职辅导员经历，或有研究生支教团经历的，在同等条件下优先。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2.入职后从事专职辅导员工作不得少于2年，两年后可根据学校工作需要调动到行政管理部门工作。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行政管理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不超过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8人</w:t>
            </w:r>
          </w:p>
        </w:tc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年龄32周岁以下，即1989年1月1日（含）以后出生。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1"/>
              <w:jc w:val="left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 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哲学、马克思主义理论、政治学、新闻传播学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年龄45周岁以下，即1976年1月1日（含）以后出生。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本岗位设在校党委宣传部。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化学工程与技术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年龄45周岁以下，即1976年1月1日（含）以后出生。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本岗位设在广西有色金属及特色材料加工重点实验室。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9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非教师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（三）</w:t>
            </w:r>
          </w:p>
        </w:tc>
        <w:tc>
          <w:tcPr>
            <w:tcW w:w="7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不超过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7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图书情报与档案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年龄45周岁以下，即1976年1月1日（含）后出生。</w:t>
            </w:r>
          </w:p>
        </w:tc>
        <w:tc>
          <w:tcPr>
            <w:tcW w:w="23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" w:right="0" w:hanging="11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本科为图书馆学、档案学、信息资源管理专业者，同等条件下优先；本岗位设在图书馆。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F0329"/>
    <w:rsid w:val="69FF03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2020-12-30T11:56:00Z</dcterms:created>
  <dc:creator>WPS_1609033458</dc:creator>
  <cp:lastModifiedBy>WPS_1609033458</cp:lastModifiedBy>
  <dcterms:modified xsi:type="dcterms:W3CDTF">2020-12-30T11:56:32Z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