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66" w:type="dxa"/>
        <w:tblCellMar>
          <w:left w:w="0" w:type="dxa"/>
          <w:right w:w="0" w:type="dxa"/>
        </w:tblCellMar>
        <w:tblLook w:val="04A0"/>
      </w:tblPr>
      <w:tblGrid>
        <w:gridCol w:w="1072"/>
        <w:gridCol w:w="793"/>
        <w:gridCol w:w="955"/>
        <w:gridCol w:w="1326"/>
        <w:gridCol w:w="585"/>
        <w:gridCol w:w="615"/>
        <w:gridCol w:w="797"/>
        <w:gridCol w:w="879"/>
        <w:gridCol w:w="858"/>
        <w:gridCol w:w="930"/>
        <w:gridCol w:w="906"/>
        <w:gridCol w:w="2070"/>
        <w:gridCol w:w="1470"/>
        <w:gridCol w:w="810"/>
      </w:tblGrid>
      <w:tr w:rsidR="007560ED">
        <w:trPr>
          <w:trHeight w:val="285"/>
        </w:trPr>
        <w:tc>
          <w:tcPr>
            <w:tcW w:w="1072" w:type="dxa"/>
            <w:tcBorders>
              <w:top w:val="nil"/>
              <w:left w:val="nil"/>
              <w:bottom w:val="nil"/>
              <w:right w:val="nil"/>
            </w:tcBorders>
            <w:shd w:val="clear" w:color="auto" w:fill="auto"/>
            <w:tcMar>
              <w:top w:w="15" w:type="dxa"/>
              <w:left w:w="15" w:type="dxa"/>
              <w:right w:w="15" w:type="dxa"/>
            </w:tcMar>
            <w:vAlign w:val="center"/>
          </w:tcPr>
          <w:p w:rsidR="007560ED" w:rsidRDefault="0077227E">
            <w:pPr>
              <w:widowControl/>
              <w:jc w:val="left"/>
              <w:textAlignment w:val="center"/>
              <w:rPr>
                <w:rFonts w:ascii="宋体" w:eastAsia="宋体" w:hAnsi="宋体" w:cs="宋体"/>
                <w:color w:val="000000"/>
                <w:sz w:val="24"/>
              </w:rPr>
            </w:pPr>
            <w:r>
              <w:rPr>
                <w:rFonts w:ascii="黑体" w:eastAsia="黑体" w:hAnsi="黑体" w:cs="黑体" w:hint="eastAsia"/>
                <w:color w:val="000000"/>
                <w:kern w:val="0"/>
                <w:sz w:val="32"/>
                <w:szCs w:val="32"/>
              </w:rPr>
              <w:t>附件1</w:t>
            </w:r>
          </w:p>
        </w:tc>
        <w:tc>
          <w:tcPr>
            <w:tcW w:w="793"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955"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1326"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585"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615"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797"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879"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858"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930"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906"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2070"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1470"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c>
          <w:tcPr>
            <w:tcW w:w="810" w:type="dxa"/>
            <w:tcBorders>
              <w:top w:val="nil"/>
              <w:left w:val="nil"/>
              <w:bottom w:val="nil"/>
              <w:right w:val="nil"/>
            </w:tcBorders>
            <w:shd w:val="clear" w:color="auto" w:fill="auto"/>
            <w:tcMar>
              <w:top w:w="15" w:type="dxa"/>
              <w:left w:w="15" w:type="dxa"/>
              <w:right w:w="15" w:type="dxa"/>
            </w:tcMar>
            <w:vAlign w:val="center"/>
          </w:tcPr>
          <w:p w:rsidR="007560ED" w:rsidRDefault="007560ED">
            <w:pPr>
              <w:rPr>
                <w:rFonts w:ascii="Calibri" w:eastAsia="宋体" w:hAnsi="Calibri" w:cs="Calibri"/>
                <w:color w:val="000000"/>
                <w:szCs w:val="21"/>
              </w:rPr>
            </w:pPr>
          </w:p>
        </w:tc>
      </w:tr>
      <w:tr w:rsidR="007560ED">
        <w:trPr>
          <w:trHeight w:val="810"/>
        </w:trPr>
        <w:tc>
          <w:tcPr>
            <w:tcW w:w="14066" w:type="dxa"/>
            <w:gridSpan w:val="14"/>
            <w:tcBorders>
              <w:top w:val="nil"/>
              <w:left w:val="nil"/>
              <w:bottom w:val="nil"/>
              <w:right w:val="nil"/>
            </w:tcBorders>
            <w:shd w:val="clear" w:color="auto" w:fill="auto"/>
            <w:tcMar>
              <w:top w:w="15" w:type="dxa"/>
              <w:left w:w="15" w:type="dxa"/>
              <w:right w:w="15" w:type="dxa"/>
            </w:tcMar>
            <w:vAlign w:val="center"/>
          </w:tcPr>
          <w:p w:rsidR="007560ED" w:rsidRDefault="0077227E">
            <w:pPr>
              <w:widowControl/>
              <w:jc w:val="center"/>
              <w:textAlignment w:val="center"/>
              <w:rPr>
                <w:rFonts w:ascii="华文中宋" w:eastAsia="华文中宋" w:hAnsi="华文中宋" w:cs="华文中宋"/>
                <w:color w:val="000000"/>
                <w:sz w:val="40"/>
                <w:szCs w:val="40"/>
              </w:rPr>
            </w:pPr>
            <w:r>
              <w:rPr>
                <w:rFonts w:ascii="华文中宋" w:eastAsia="华文中宋" w:hAnsi="华文中宋" w:cs="华文中宋"/>
                <w:color w:val="000000"/>
                <w:kern w:val="0"/>
                <w:sz w:val="40"/>
                <w:szCs w:val="40"/>
              </w:rPr>
              <w:t>黔西南州</w:t>
            </w:r>
            <w:r>
              <w:rPr>
                <w:rFonts w:ascii="华文中宋" w:eastAsia="华文中宋" w:hAnsi="华文中宋" w:cs="华文中宋" w:hint="eastAsia"/>
                <w:color w:val="000000"/>
                <w:kern w:val="0"/>
                <w:sz w:val="40"/>
                <w:szCs w:val="40"/>
              </w:rPr>
              <w:t>扶贫开发办公室2021</w:t>
            </w:r>
            <w:r>
              <w:rPr>
                <w:rFonts w:ascii="华文中宋" w:eastAsia="华文中宋" w:hAnsi="华文中宋" w:cs="华文中宋"/>
                <w:color w:val="000000"/>
                <w:kern w:val="0"/>
                <w:sz w:val="40"/>
                <w:szCs w:val="40"/>
              </w:rPr>
              <w:t>年公开</w:t>
            </w:r>
            <w:proofErr w:type="gramStart"/>
            <w:r>
              <w:rPr>
                <w:rFonts w:ascii="华文中宋" w:eastAsia="华文中宋" w:hAnsi="华文中宋" w:cs="华文中宋" w:hint="eastAsia"/>
                <w:color w:val="000000"/>
                <w:kern w:val="0"/>
                <w:sz w:val="40"/>
                <w:szCs w:val="40"/>
              </w:rPr>
              <w:t>考聘事业</w:t>
            </w:r>
            <w:proofErr w:type="gramEnd"/>
            <w:r>
              <w:rPr>
                <w:rFonts w:ascii="华文中宋" w:eastAsia="华文中宋" w:hAnsi="华文中宋" w:cs="华文中宋" w:hint="eastAsia"/>
                <w:color w:val="000000"/>
                <w:kern w:val="0"/>
                <w:sz w:val="40"/>
                <w:szCs w:val="40"/>
              </w:rPr>
              <w:t>专业技术人员</w:t>
            </w:r>
            <w:r>
              <w:rPr>
                <w:rFonts w:ascii="华文中宋" w:eastAsia="华文中宋" w:hAnsi="华文中宋" w:cs="华文中宋"/>
                <w:color w:val="000000"/>
                <w:kern w:val="0"/>
                <w:sz w:val="40"/>
                <w:szCs w:val="40"/>
              </w:rPr>
              <w:t>职位表</w:t>
            </w:r>
          </w:p>
        </w:tc>
      </w:tr>
      <w:tr w:rsidR="007560ED">
        <w:trPr>
          <w:trHeight w:val="495"/>
        </w:trPr>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proofErr w:type="gramStart"/>
            <w:r>
              <w:rPr>
                <w:rFonts w:ascii="宋体" w:eastAsia="宋体" w:hAnsi="宋体" w:cs="宋体" w:hint="eastAsia"/>
                <w:b/>
                <w:color w:val="000000"/>
                <w:kern w:val="0"/>
                <w:sz w:val="24"/>
              </w:rPr>
              <w:t>考聘单位</w:t>
            </w:r>
            <w:proofErr w:type="gramEnd"/>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机构</w:t>
            </w:r>
            <w:r>
              <w:rPr>
                <w:rFonts w:ascii="宋体" w:eastAsia="宋体" w:hAnsi="宋体" w:cs="宋体" w:hint="eastAsia"/>
                <w:b/>
                <w:color w:val="000000"/>
                <w:kern w:val="0"/>
                <w:sz w:val="24"/>
              </w:rPr>
              <w:br/>
              <w:t>性质</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职位</w:t>
            </w:r>
            <w:r>
              <w:rPr>
                <w:rFonts w:ascii="宋体" w:eastAsia="宋体" w:hAnsi="宋体" w:cs="宋体" w:hint="eastAsia"/>
                <w:b/>
                <w:color w:val="000000"/>
                <w:kern w:val="0"/>
                <w:sz w:val="24"/>
              </w:rPr>
              <w:br/>
              <w:t>名称</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职位</w:t>
            </w:r>
            <w:r>
              <w:rPr>
                <w:rFonts w:ascii="宋体" w:eastAsia="宋体" w:hAnsi="宋体" w:cs="宋体" w:hint="eastAsia"/>
                <w:b/>
                <w:color w:val="000000"/>
                <w:kern w:val="0"/>
                <w:sz w:val="24"/>
              </w:rPr>
              <w:br/>
              <w:t>简介</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proofErr w:type="gramStart"/>
            <w:r>
              <w:rPr>
                <w:rFonts w:ascii="宋体" w:eastAsia="宋体" w:hAnsi="宋体" w:cs="宋体" w:hint="eastAsia"/>
                <w:b/>
                <w:color w:val="000000"/>
                <w:kern w:val="0"/>
                <w:sz w:val="24"/>
              </w:rPr>
              <w:t>考聘数量</w:t>
            </w:r>
            <w:proofErr w:type="gramEnd"/>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职位代码</w:t>
            </w:r>
          </w:p>
        </w:tc>
        <w:tc>
          <w:tcPr>
            <w:tcW w:w="346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职位资格条件</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proofErr w:type="gramStart"/>
            <w:r>
              <w:rPr>
                <w:rFonts w:ascii="宋体" w:eastAsia="宋体" w:hAnsi="宋体" w:cs="宋体" w:hint="eastAsia"/>
                <w:b/>
                <w:color w:val="000000"/>
                <w:kern w:val="0"/>
                <w:sz w:val="24"/>
              </w:rPr>
              <w:t>考聘单位</w:t>
            </w:r>
            <w:proofErr w:type="gramEnd"/>
            <w:r>
              <w:rPr>
                <w:rFonts w:ascii="宋体" w:eastAsia="宋体" w:hAnsi="宋体" w:cs="宋体" w:hint="eastAsia"/>
                <w:b/>
                <w:color w:val="000000"/>
                <w:kern w:val="0"/>
                <w:sz w:val="24"/>
              </w:rPr>
              <w:t>地址</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信息查阅</w:t>
            </w:r>
            <w:r>
              <w:rPr>
                <w:rFonts w:ascii="宋体" w:eastAsia="宋体" w:hAnsi="宋体" w:cs="宋体" w:hint="eastAsia"/>
                <w:b/>
                <w:color w:val="000000"/>
                <w:kern w:val="0"/>
                <w:sz w:val="24"/>
              </w:rPr>
              <w:br/>
              <w:t>网    站</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咨询电话</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备注</w:t>
            </w:r>
          </w:p>
        </w:tc>
      </w:tr>
      <w:tr w:rsidR="007560ED">
        <w:trPr>
          <w:trHeight w:val="741"/>
        </w:trPr>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专业</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学历</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政治</w:t>
            </w:r>
            <w:r>
              <w:rPr>
                <w:rFonts w:ascii="宋体" w:eastAsia="宋体" w:hAnsi="宋体" w:cs="宋体" w:hint="eastAsia"/>
                <w:b/>
                <w:color w:val="000000"/>
                <w:kern w:val="0"/>
                <w:sz w:val="24"/>
              </w:rPr>
              <w:br/>
              <w:t>面貌</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其他</w:t>
            </w: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b/>
                <w:color w:val="000000"/>
                <w:sz w:val="24"/>
              </w:rPr>
            </w:pPr>
          </w:p>
        </w:tc>
      </w:tr>
      <w:tr w:rsidR="007560ED">
        <w:trPr>
          <w:trHeight w:val="3015"/>
        </w:trPr>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黔西南州</w:t>
            </w:r>
            <w:r>
              <w:rPr>
                <w:rFonts w:ascii="仿宋_GB2312" w:eastAsia="仿宋_GB2312" w:hAnsi="宋体" w:cs="仿宋_GB2312"/>
                <w:color w:val="000000"/>
                <w:kern w:val="0"/>
                <w:sz w:val="24"/>
              </w:rPr>
              <w:br/>
            </w:r>
            <w:r>
              <w:rPr>
                <w:rFonts w:ascii="仿宋_GB2312" w:eastAsia="仿宋_GB2312" w:hAnsi="宋体" w:cs="仿宋_GB2312" w:hint="eastAsia"/>
                <w:color w:val="000000"/>
                <w:kern w:val="0"/>
                <w:sz w:val="24"/>
              </w:rPr>
              <w:t>扶贫开发促进中心</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全额拨款事业</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 w:eastAsia="仿宋" w:hAnsi="仿宋" w:cs="仿宋" w:hint="eastAsia"/>
                <w:color w:val="000000"/>
                <w:kern w:val="0"/>
                <w:szCs w:val="21"/>
              </w:rPr>
              <w:t>专业技术十三级及以上人员</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spacing w:line="280" w:lineRule="exact"/>
              <w:rPr>
                <w:rFonts w:ascii="仿宋_GB2312" w:eastAsia="仿宋_GB2312" w:hAnsi="宋体" w:cs="仿宋_GB2312"/>
                <w:color w:val="000000"/>
                <w:sz w:val="24"/>
              </w:rPr>
            </w:pPr>
            <w:r>
              <w:rPr>
                <w:rFonts w:ascii="仿宋" w:eastAsia="仿宋" w:hAnsi="仿宋" w:cs="仿宋" w:hint="eastAsia"/>
                <w:szCs w:val="21"/>
              </w:rPr>
              <w:t>贯彻执行扶贫开发与乡村振兴工作方针、政策；协助做好产业发展相关政策研究和宣传以及各类扶贫开发项目技术指导，配合组织开展社会团体帮扶和扶贫开发信息调度、数据统计，开展</w:t>
            </w:r>
            <w:r>
              <w:rPr>
                <w:rFonts w:ascii="仿宋" w:eastAsia="仿宋" w:hAnsi="仿宋" w:cs="仿宋" w:hint="eastAsia"/>
                <w:color w:val="000000"/>
                <w:szCs w:val="21"/>
              </w:rPr>
              <w:t>全州扶贫开发工作督促检查、考评</w:t>
            </w:r>
            <w:proofErr w:type="gramStart"/>
            <w:r>
              <w:rPr>
                <w:rFonts w:ascii="仿宋" w:eastAsia="仿宋" w:hAnsi="仿宋" w:cs="仿宋" w:hint="eastAsia"/>
                <w:color w:val="000000"/>
                <w:szCs w:val="21"/>
              </w:rPr>
              <w:t>问效与</w:t>
            </w:r>
            <w:r>
              <w:rPr>
                <w:rFonts w:ascii="仿宋" w:eastAsia="仿宋" w:hAnsi="仿宋" w:cs="仿宋" w:hint="eastAsia"/>
                <w:szCs w:val="21"/>
              </w:rPr>
              <w:t>年度</w:t>
            </w:r>
            <w:proofErr w:type="gramEnd"/>
            <w:r>
              <w:rPr>
                <w:rFonts w:ascii="仿宋" w:eastAsia="仿宋" w:hAnsi="仿宋" w:cs="仿宋" w:hint="eastAsia"/>
                <w:szCs w:val="21"/>
              </w:rPr>
              <w:t>任务完成情况考核。</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4名</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02</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不限</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本科及</w:t>
            </w:r>
          </w:p>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以上</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不限</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 w:eastAsia="仿宋" w:hAnsi="仿宋" w:cs="仿宋" w:hint="eastAsia"/>
                <w:szCs w:val="21"/>
              </w:rPr>
              <w:t>详见《方案》</w:t>
            </w:r>
            <w:proofErr w:type="gramStart"/>
            <w:r>
              <w:rPr>
                <w:rFonts w:ascii="仿宋" w:eastAsia="仿宋" w:hAnsi="仿宋" w:cs="仿宋" w:hint="eastAsia"/>
                <w:szCs w:val="21"/>
              </w:rPr>
              <w:t>考聘条件</w:t>
            </w:r>
            <w:proofErr w:type="gramEnd"/>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兴义市民航大道中段黔西南州扶贫开发办公室</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rPr>
                <w:rFonts w:ascii="宋体" w:eastAsia="宋体" w:hAnsi="宋体" w:cs="宋体"/>
                <w:color w:val="000000"/>
                <w:sz w:val="22"/>
                <w:szCs w:val="22"/>
              </w:rPr>
            </w:pPr>
            <w:r>
              <w:rPr>
                <w:rFonts w:ascii="仿宋" w:eastAsia="仿宋" w:hAnsi="仿宋" w:cs="仿宋" w:hint="eastAsia"/>
                <w:sz w:val="24"/>
              </w:rPr>
              <w:t>黔西南州扶贫开发办公室政务公开网</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7227E">
            <w:pPr>
              <w:jc w:val="center"/>
              <w:rPr>
                <w:rFonts w:ascii="仿宋_GB2312" w:eastAsia="仿宋_GB2312" w:hAnsi="宋体" w:cs="仿宋_GB2312"/>
                <w:b/>
                <w:color w:val="000000"/>
                <w:sz w:val="24"/>
              </w:rPr>
            </w:pPr>
            <w:r>
              <w:rPr>
                <w:rFonts w:ascii="仿宋_GB2312" w:eastAsia="仿宋_GB2312" w:hAnsi="宋体" w:cs="仿宋_GB2312" w:hint="eastAsia"/>
                <w:bCs/>
                <w:color w:val="000000"/>
                <w:sz w:val="24"/>
              </w:rPr>
              <w:t>0859-3217612</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r>
      <w:tr w:rsidR="007560ED">
        <w:trPr>
          <w:trHeight w:val="1884"/>
        </w:trPr>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8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宋体" w:eastAsia="宋体" w:hAnsi="宋体" w:cs="宋体"/>
                <w:color w:val="000000"/>
                <w:sz w:val="22"/>
                <w:szCs w:val="22"/>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b/>
                <w:color w:val="000000"/>
                <w:sz w:val="24"/>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60ED" w:rsidRDefault="007560ED">
            <w:pPr>
              <w:jc w:val="center"/>
              <w:rPr>
                <w:rFonts w:ascii="仿宋_GB2312" w:eastAsia="仿宋_GB2312" w:hAnsi="宋体" w:cs="仿宋_GB2312"/>
                <w:color w:val="000000"/>
                <w:sz w:val="24"/>
              </w:rPr>
            </w:pPr>
          </w:p>
        </w:tc>
      </w:tr>
      <w:tr w:rsidR="007560ED">
        <w:trPr>
          <w:trHeight w:val="459"/>
        </w:trPr>
        <w:tc>
          <w:tcPr>
            <w:tcW w:w="14066" w:type="dxa"/>
            <w:gridSpan w:val="14"/>
            <w:tcBorders>
              <w:top w:val="nil"/>
              <w:left w:val="nil"/>
              <w:bottom w:val="nil"/>
              <w:right w:val="nil"/>
            </w:tcBorders>
            <w:shd w:val="clear" w:color="auto" w:fill="auto"/>
            <w:noWrap/>
            <w:tcMar>
              <w:top w:w="15" w:type="dxa"/>
              <w:left w:w="15" w:type="dxa"/>
              <w:right w:w="15" w:type="dxa"/>
            </w:tcMar>
            <w:vAlign w:val="center"/>
          </w:tcPr>
          <w:p w:rsidR="007560ED" w:rsidRDefault="007560ED">
            <w:pPr>
              <w:widowControl/>
              <w:jc w:val="left"/>
              <w:textAlignment w:val="center"/>
              <w:rPr>
                <w:rFonts w:ascii="宋体" w:eastAsia="宋体" w:hAnsi="宋体" w:cs="宋体"/>
                <w:color w:val="000000"/>
                <w:sz w:val="22"/>
                <w:szCs w:val="22"/>
              </w:rPr>
            </w:pPr>
          </w:p>
        </w:tc>
      </w:tr>
    </w:tbl>
    <w:p w:rsidR="007560ED" w:rsidRDefault="007560ED" w:rsidP="00A06FDA">
      <w:pPr>
        <w:spacing w:line="400" w:lineRule="exact"/>
      </w:pPr>
    </w:p>
    <w:sectPr w:rsidR="007560ED" w:rsidSect="00A06FDA">
      <w:footerReference w:type="default" r:id="rId8"/>
      <w:pgSz w:w="16783" w:h="11850" w:orient="landscape"/>
      <w:pgMar w:top="1576" w:right="1474" w:bottom="1576" w:left="1446"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8FC" w:rsidRDefault="00D028FC" w:rsidP="007560ED">
      <w:r>
        <w:separator/>
      </w:r>
    </w:p>
  </w:endnote>
  <w:endnote w:type="continuationSeparator" w:id="0">
    <w:p w:rsidR="00D028FC" w:rsidRDefault="00D028FC" w:rsidP="00756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Franklin Gothic Medium">
    <w:panose1 w:val="020B0603020102020204"/>
    <w:charset w:val="00"/>
    <w:family w:val="swiss"/>
    <w:pitch w:val="default"/>
    <w:sig w:usb0="00000287" w:usb1="00000000" w:usb2="00000000" w:usb3="00000000" w:csb0="2000009F" w:csb1="DFD7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ED" w:rsidRDefault="007A4165">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560ED" w:rsidRDefault="007A4165">
                <w:pPr>
                  <w:pStyle w:val="a3"/>
                </w:pPr>
                <w:r>
                  <w:rPr>
                    <w:rFonts w:asciiTheme="minorEastAsia" w:hAnsiTheme="minorEastAsia" w:cstheme="minorEastAsia" w:hint="eastAsia"/>
                    <w:sz w:val="28"/>
                    <w:szCs w:val="28"/>
                  </w:rPr>
                  <w:fldChar w:fldCharType="begin"/>
                </w:r>
                <w:r w:rsidR="0077227E">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06FDA">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8FC" w:rsidRDefault="00D028FC" w:rsidP="007560ED">
      <w:r>
        <w:separator/>
      </w:r>
    </w:p>
  </w:footnote>
  <w:footnote w:type="continuationSeparator" w:id="0">
    <w:p w:rsidR="00D028FC" w:rsidRDefault="00D028FC" w:rsidP="00756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8A469D"/>
    <w:multiLevelType w:val="singleLevel"/>
    <w:tmpl w:val="C38A469D"/>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4E02CB"/>
    <w:rsid w:val="000A3A22"/>
    <w:rsid w:val="007560ED"/>
    <w:rsid w:val="0077227E"/>
    <w:rsid w:val="007A4165"/>
    <w:rsid w:val="009E1472"/>
    <w:rsid w:val="00A06FDA"/>
    <w:rsid w:val="00A46FD4"/>
    <w:rsid w:val="00D028FC"/>
    <w:rsid w:val="00D131D9"/>
    <w:rsid w:val="046A42FF"/>
    <w:rsid w:val="0FDD705E"/>
    <w:rsid w:val="14F87D92"/>
    <w:rsid w:val="184E02CB"/>
    <w:rsid w:val="1A2075C5"/>
    <w:rsid w:val="1BD367AE"/>
    <w:rsid w:val="1DB259D7"/>
    <w:rsid w:val="20B92A38"/>
    <w:rsid w:val="21E0191E"/>
    <w:rsid w:val="22556EF2"/>
    <w:rsid w:val="23507823"/>
    <w:rsid w:val="26394354"/>
    <w:rsid w:val="264D0649"/>
    <w:rsid w:val="26C662CA"/>
    <w:rsid w:val="275D3BD1"/>
    <w:rsid w:val="2BD6182B"/>
    <w:rsid w:val="2BF36192"/>
    <w:rsid w:val="31DB4962"/>
    <w:rsid w:val="324461EA"/>
    <w:rsid w:val="3A182530"/>
    <w:rsid w:val="3A275DD9"/>
    <w:rsid w:val="3BE33289"/>
    <w:rsid w:val="3C0D35A3"/>
    <w:rsid w:val="41773870"/>
    <w:rsid w:val="42260848"/>
    <w:rsid w:val="493E58F6"/>
    <w:rsid w:val="493F1861"/>
    <w:rsid w:val="49CA263D"/>
    <w:rsid w:val="4BBE4B60"/>
    <w:rsid w:val="4D596D49"/>
    <w:rsid w:val="50CA0908"/>
    <w:rsid w:val="537375E8"/>
    <w:rsid w:val="56EA21D4"/>
    <w:rsid w:val="5769584A"/>
    <w:rsid w:val="578C1CE1"/>
    <w:rsid w:val="589739E0"/>
    <w:rsid w:val="5CF66C27"/>
    <w:rsid w:val="5F544D69"/>
    <w:rsid w:val="60247E8A"/>
    <w:rsid w:val="6434525D"/>
    <w:rsid w:val="6931316D"/>
    <w:rsid w:val="69B767E0"/>
    <w:rsid w:val="6A982B7C"/>
    <w:rsid w:val="6B525F54"/>
    <w:rsid w:val="6F767AFC"/>
    <w:rsid w:val="6F9C427C"/>
    <w:rsid w:val="779F1C3D"/>
    <w:rsid w:val="7A432A09"/>
    <w:rsid w:val="7BAB38BF"/>
    <w:rsid w:val="7E1C064F"/>
    <w:rsid w:val="7F661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0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560ED"/>
    <w:pPr>
      <w:tabs>
        <w:tab w:val="center" w:pos="4153"/>
        <w:tab w:val="right" w:pos="8306"/>
      </w:tabs>
      <w:snapToGrid w:val="0"/>
      <w:jc w:val="left"/>
    </w:pPr>
    <w:rPr>
      <w:sz w:val="18"/>
    </w:rPr>
  </w:style>
  <w:style w:type="paragraph" w:styleId="a4">
    <w:name w:val="header"/>
    <w:basedOn w:val="a"/>
    <w:qFormat/>
    <w:rsid w:val="007560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7560ED"/>
    <w:pPr>
      <w:widowControl/>
      <w:spacing w:before="100" w:beforeAutospacing="1" w:after="100" w:afterAutospacing="1"/>
      <w:jc w:val="left"/>
    </w:pPr>
    <w:rPr>
      <w:rFonts w:ascii="宋体" w:hAnsi="宋体" w:cs="宋体"/>
      <w:kern w:val="0"/>
      <w:sz w:val="24"/>
    </w:rPr>
  </w:style>
  <w:style w:type="table" w:styleId="a6">
    <w:name w:val="Table Grid"/>
    <w:basedOn w:val="a1"/>
    <w:qFormat/>
    <w:rsid w:val="007560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7560ED"/>
    <w:rPr>
      <w:color w:val="0000FF"/>
      <w:u w:val="single"/>
    </w:rPr>
  </w:style>
  <w:style w:type="paragraph" w:customStyle="1" w:styleId="6">
    <w:name w:val="样式6"/>
    <w:basedOn w:val="a"/>
    <w:qFormat/>
    <w:rsid w:val="007560ED"/>
    <w:pPr>
      <w:spacing w:line="500" w:lineRule="exact"/>
    </w:pPr>
    <w:rPr>
      <w:rFonts w:ascii="仿宋_GB2312" w:hAnsi="Franklin Gothic Medium" w:cs="Courier Ne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Words>
  <Characters>334</Characters>
  <Application>Microsoft Office Word</Application>
  <DocSecurity>0</DocSecurity>
  <Lines>2</Lines>
  <Paragraphs>1</Paragraphs>
  <ScaleCrop>false</ScaleCrop>
  <Company>Microsoft</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张登纪</cp:lastModifiedBy>
  <cp:revision>5</cp:revision>
  <cp:lastPrinted>2021-01-04T01:17:00Z</cp:lastPrinted>
  <dcterms:created xsi:type="dcterms:W3CDTF">2020-11-02T06:52:00Z</dcterms:created>
  <dcterms:modified xsi:type="dcterms:W3CDTF">2021-01-08T03:01:00Z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