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98" w:tblpY="133"/>
        <w:tblOverlap w:val="never"/>
        <w:tblW w:w="14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55"/>
        <w:gridCol w:w="780"/>
        <w:gridCol w:w="930"/>
        <w:gridCol w:w="1680"/>
        <w:gridCol w:w="2070"/>
        <w:gridCol w:w="2010"/>
        <w:gridCol w:w="1125"/>
        <w:gridCol w:w="1917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：    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宁远县人民医院2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val="en-US" w:eastAsia="zh-CN"/>
              </w:rPr>
              <w:t>021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eastAsia="zh-CN"/>
              </w:rPr>
              <w:t>紧急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招聘临聘专业技术人员职位表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 xml:space="preserve">职位名称 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计划招聘人数</w:t>
            </w: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招  聘  条  件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面试形式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最高年龄要求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最低学历要求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1" w:firstLineChars="100"/>
              <w:jc w:val="both"/>
              <w:textAlignment w:val="auto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其他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  <w:lang w:eastAsia="zh-CN"/>
              </w:rPr>
              <w:t>资格</w:t>
            </w: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>条件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19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内科医师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新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中级职称及研究生学历可放宽到35周岁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外科医师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儿科医师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重症医学科医师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感染科医师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男性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女性</w:t>
            </w:r>
          </w:p>
        </w:tc>
        <w:tc>
          <w:tcPr>
            <w:tcW w:w="19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120急救医师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男性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有医师执业证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女性</w:t>
            </w:r>
          </w:p>
        </w:tc>
        <w:tc>
          <w:tcPr>
            <w:tcW w:w="19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检验师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临床医学检验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有检验师资格证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男性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临床医学检验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有检验师资格证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女性</w:t>
            </w:r>
          </w:p>
        </w:tc>
        <w:tc>
          <w:tcPr>
            <w:tcW w:w="19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药剂师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有药师资格证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统计师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统计专业/病案专业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eastAsia="zh-CN"/>
              </w:rPr>
              <w:t>全日制大专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  <w:lang w:val="en-US" w:eastAsia="zh-CN" w:bidi="ar-SA"/>
              </w:rPr>
              <w:t>护理专业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有护士执业证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专业知识问答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32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2021-01-12T09:11:43Z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