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6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BEBDC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485"/>
        <w:gridCol w:w="2160"/>
        <w:gridCol w:w="2136"/>
        <w:gridCol w:w="49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舞蹈演员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男女不限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舞蹈学、舞蹈表演、体育舞蹈、舞蹈编导、舞蹈教育专业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声乐演唱演员（流行唱法）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男女不限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音乐学、音乐教育、音乐表演、表演艺术、作曲与作曲技术理论专业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数字文化平台管理人员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男女不限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专业不限（有数字文化平台管理经验者、音响调控、音乐及视频剪辑经验者优先）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主持人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男女不限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主持与播音、播音与主持艺术、表演、戏剧学、戏剧戏曲学、播音与主持专业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艺术团管理人员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男女不限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8B2E0E"/>
                <w:spacing w:val="0"/>
                <w:sz w:val="19"/>
                <w:szCs w:val="19"/>
                <w:bdr w:val="none" w:color="auto" w:sz="0" w:space="0"/>
              </w:rPr>
              <w:t>专业不限（有相关工作经验者优先）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2FBC"/>
    <w:rsid w:val="23D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2021-01-13T08:06:00Z</dcterms:created>
  <dc:creator>ぺ灬cc果冻ル</dc:creator>
  <cp:lastModifiedBy>ぺ灬cc果冻ル</cp:lastModifiedBy>
  <dcterms:modified xsi:type="dcterms:W3CDTF">2021-01-13T08:07:52Z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