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附件2-1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郑州综合利用所2021年招聘计划</w:t>
      </w:r>
      <w:bookmarkEnd w:id="0"/>
    </w:p>
    <w:tbl>
      <w:tblPr>
        <w:tblStyle w:val="3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07"/>
        <w:gridCol w:w="1417"/>
        <w:gridCol w:w="1843"/>
        <w:gridCol w:w="283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拟聘工作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岗位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备注（应届毕业生</w:t>
            </w:r>
            <w:r>
              <w:rPr>
                <w:rFonts w:ascii="黑体" w:hAnsi="黑体" w:eastAsia="黑体" w:cs="宋体"/>
                <w:bCs/>
                <w:kern w:val="0"/>
                <w:sz w:val="21"/>
                <w:szCs w:val="21"/>
              </w:rPr>
              <w:t>/在职人员）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矿物加工工程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矿物学、岩石学、矿床学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本硕博专业一致或相近。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有色冶金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/冶金物理化学/冶金工程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本硕博专业一致或相近。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无机非金属材料工程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/矿物加工工程/化学工艺/化学工程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同等条件下熟悉矿物材料性能表征、本硕博专业一致或相近、有相关研究经历者优先。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环境工程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/环境科学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本硕博均为相关专业，水土污染治理与修复方向，了解水土污染的调查、评价及修复方法，同等条件下具有从事水土污染调查与评价的科研经历者优先。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水工环及相关专业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本硕博均为相关专业，同等条件下具有水工环相关领域调查科研经历者优先。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地质工程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中级及以上职称，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5年以上地质制图及数据库建库相关工作经验，熟练使用MapGIS、ArcGIS等制图软件，45周岁以下。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资源产业经济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本科为地质、矿产相关专业。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同等条件下具有网络安全相关工作经验者优先，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45周岁以下。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同等条件下数据分析方向优先。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应届高校毕业生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A5BEC"/>
    <w:rsid w:val="660A5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2021-02-01T09:49:00Z</dcterms:created>
  <dc:creator>user</dc:creator>
  <cp:lastModifiedBy>user</cp:lastModifiedBy>
  <dcterms:modified xsi:type="dcterms:W3CDTF">2021-02-01T09:54:02Z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