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8"/>
        <w:gridCol w:w="444"/>
        <w:gridCol w:w="996"/>
        <w:gridCol w:w="1272"/>
        <w:gridCol w:w="1656"/>
        <w:gridCol w:w="1092"/>
        <w:gridCol w:w="9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招聘岗位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65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考试环节设置及所占综合成绩比例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证书要求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临床护理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普通高校专科及以上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护理、护理学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笔试50%，专业技能测试50%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护士执业资格证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8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助产士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普通高校专科及以上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助产、助产学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笔试50%，专业技能测试50%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护士执业资格证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康复治疗师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普通高校专科及以上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康复治疗技术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笔试50%，专业技能测试50%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耳鼻咽喉科医师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普通高校本科及以上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临床医学、中医五官科学、耳鼻咽喉科学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笔试50%，专业技能测试50%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执业医师资格证、住院医师规范化培训合格证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4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耳鼻咽喉科技师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普通高校专科及以上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医学影像技术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笔试50%，专业技能测试50%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2" w:hRule="atLeast"/>
          <w:jc w:val="center"/>
        </w:trPr>
        <w:tc>
          <w:tcPr>
            <w:tcW w:w="10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财务科工作人员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普通高校专科及以上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会计、会计学、财务会计、财务管理、财务会计与审计、会计与金融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笔试50%，专业技能测试50%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0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普通高校本科及以上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人力资源管理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笔试50%，专业技能测试50%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从事绩效管理相关工作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工程管理人员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普通高校专科及以上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建筑工程管理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笔试50%，专业技能测试50%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  <w:jc w:val="center"/>
        </w:trPr>
        <w:tc>
          <w:tcPr>
            <w:tcW w:w="10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医务科工作人员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普通高校本科及以上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医事法学</w:t>
            </w:r>
          </w:p>
        </w:tc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C3C3C"/>
                <w:spacing w:val="0"/>
                <w:sz w:val="21"/>
                <w:szCs w:val="21"/>
                <w:bdr w:val="none" w:color="auto" w:sz="0" w:space="0"/>
              </w:rPr>
              <w:t>笔试50%，专业技能测试50%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caps w:val="0"/>
                <w:color w:val="3C3C3C"/>
                <w:spacing w:val="0"/>
                <w:sz w:val="16"/>
                <w:szCs w:val="16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6F3CE1"/>
    <w:rsid w:val="2E6F3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2021-02-04T11:56:00Z</dcterms:created>
  <dc:creator>ぺ灬cc果冻ル</dc:creator>
  <cp:lastModifiedBy>ぺ灬cc果冻ル</cp:lastModifiedBy>
  <dcterms:modified xsi:type="dcterms:W3CDTF">2021-02-04T11:56:27Z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