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ascii="微软雅黑" w:hAnsi="微软雅黑" w:eastAsia="微软雅黑" w:cs="微软雅黑"/>
          <w:i w:val="0"/>
          <w:caps w:val="0"/>
          <w:color w:val="686868"/>
          <w:spacing w:val="0"/>
          <w:sz w:val="20"/>
          <w:szCs w:val="20"/>
        </w:rPr>
      </w:pPr>
      <w:r>
        <w:rPr>
          <w:rFonts w:hint="eastAsia" w:ascii="微软雅黑" w:hAnsi="微软雅黑" w:eastAsia="微软雅黑" w:cs="微软雅黑"/>
          <w:i w:val="0"/>
          <w:caps w:val="0"/>
          <w:color w:val="686868"/>
          <w:spacing w:val="0"/>
          <w:sz w:val="20"/>
          <w:szCs w:val="20"/>
          <w:bdr w:val="none" w:color="auto" w:sz="0" w:space="0"/>
        </w:rPr>
        <w:t>人才引进类别与待遇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caps w:val="0"/>
          <w:color w:val="686868"/>
          <w:spacing w:val="0"/>
          <w:sz w:val="20"/>
          <w:szCs w:val="20"/>
        </w:rPr>
      </w:pPr>
      <w:r>
        <w:rPr>
          <w:rFonts w:hint="eastAsia" w:ascii="微软雅黑" w:hAnsi="微软雅黑" w:eastAsia="微软雅黑" w:cs="微软雅黑"/>
          <w:i w:val="0"/>
          <w:caps w:val="0"/>
          <w:color w:val="686868"/>
          <w:spacing w:val="0"/>
          <w:sz w:val="20"/>
          <w:szCs w:val="20"/>
          <w:bdr w:val="none" w:color="auto" w:sz="0" w:space="0"/>
        </w:rPr>
        <w:t>（一）人才引进类别及条件</w:t>
      </w:r>
    </w:p>
    <w:tbl>
      <w:tblPr>
        <w:tblW w:w="7313" w:type="dxa"/>
        <w:tblCellSpacing w:w="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02"/>
        <w:gridCol w:w="621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trHeight w:val="463" w:hRule="atLeast"/>
          <w:tblCellSpacing w:w="0" w:type="dxa"/>
        </w:trPr>
        <w:tc>
          <w:tcPr>
            <w:tcW w:w="7313" w:type="dxa"/>
            <w:gridSpan w:val="2"/>
            <w:tcBorders>
              <w:top w:val="nil"/>
              <w:left w:val="nil"/>
              <w:bottom w:val="single" w:color="000000" w:sz="4" w:space="0"/>
              <w:right w:val="nil"/>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0"/>
                <w:szCs w:val="20"/>
              </w:rPr>
            </w:pPr>
            <w:r>
              <w:rPr>
                <w:rFonts w:hint="eastAsia" w:ascii="微软雅黑" w:hAnsi="微软雅黑" w:eastAsia="微软雅黑" w:cs="微软雅黑"/>
                <w:i w:val="0"/>
                <w:caps w:val="0"/>
                <w:color w:val="686868"/>
                <w:spacing w:val="0"/>
                <w:sz w:val="20"/>
                <w:szCs w:val="20"/>
                <w:bdr w:val="none" w:color="auto" w:sz="0" w:space="0"/>
              </w:rPr>
              <w:t>浙江万里学院人才引进类别及条件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3" w:hRule="atLeast"/>
          <w:tblCellSpacing w:w="0" w:type="dxa"/>
        </w:trPr>
        <w:tc>
          <w:tcPr>
            <w:tcW w:w="1102" w:type="dxa"/>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0"/>
                <w:szCs w:val="20"/>
              </w:rPr>
            </w:pPr>
            <w:r>
              <w:rPr>
                <w:rFonts w:hint="eastAsia" w:ascii="微软雅黑" w:hAnsi="微软雅黑" w:eastAsia="微软雅黑" w:cs="微软雅黑"/>
                <w:i w:val="0"/>
                <w:caps w:val="0"/>
                <w:color w:val="686868"/>
                <w:spacing w:val="0"/>
                <w:sz w:val="20"/>
                <w:szCs w:val="20"/>
                <w:bdr w:val="none" w:color="auto" w:sz="0" w:space="0"/>
              </w:rPr>
              <w:t>人才类别</w:t>
            </w:r>
          </w:p>
        </w:tc>
        <w:tc>
          <w:tcPr>
            <w:tcW w:w="6211" w:type="dxa"/>
            <w:tcBorders>
              <w:top w:val="single" w:color="000000" w:sz="4" w:space="0"/>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0"/>
                <w:szCs w:val="20"/>
              </w:rPr>
            </w:pPr>
            <w:r>
              <w:rPr>
                <w:rFonts w:hint="eastAsia" w:ascii="微软雅黑" w:hAnsi="微软雅黑" w:eastAsia="微软雅黑" w:cs="微软雅黑"/>
                <w:i w:val="0"/>
                <w:caps w:val="0"/>
                <w:color w:val="686868"/>
                <w:spacing w:val="0"/>
                <w:sz w:val="20"/>
                <w:szCs w:val="20"/>
                <w:bdr w:val="none" w:color="auto" w:sz="0" w:space="0"/>
              </w:rPr>
              <w:t>引进条件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1" w:hRule="atLeast"/>
          <w:tblCellSpacing w:w="0" w:type="dxa"/>
        </w:trPr>
        <w:tc>
          <w:tcPr>
            <w:tcW w:w="1102" w:type="dxa"/>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0"/>
                <w:szCs w:val="20"/>
              </w:rPr>
            </w:pPr>
            <w:r>
              <w:rPr>
                <w:rFonts w:hint="eastAsia" w:ascii="微软雅黑" w:hAnsi="微软雅黑" w:eastAsia="微软雅黑" w:cs="微软雅黑"/>
                <w:i w:val="0"/>
                <w:caps w:val="0"/>
                <w:color w:val="686868"/>
                <w:spacing w:val="0"/>
                <w:sz w:val="20"/>
                <w:szCs w:val="20"/>
                <w:bdr w:val="none" w:color="auto" w:sz="0" w:space="0"/>
              </w:rPr>
              <w:t>顶尖人才特优人才领军人才</w:t>
            </w:r>
          </w:p>
        </w:tc>
        <w:tc>
          <w:tcPr>
            <w:tcW w:w="6211"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0"/>
                <w:szCs w:val="20"/>
              </w:rPr>
            </w:pPr>
            <w:r>
              <w:rPr>
                <w:rFonts w:hint="eastAsia" w:ascii="微软雅黑" w:hAnsi="微软雅黑" w:eastAsia="微软雅黑" w:cs="微软雅黑"/>
                <w:i w:val="0"/>
                <w:caps w:val="0"/>
                <w:color w:val="686868"/>
                <w:spacing w:val="0"/>
                <w:sz w:val="20"/>
                <w:szCs w:val="20"/>
                <w:bdr w:val="none" w:color="auto" w:sz="0" w:space="0"/>
              </w:rPr>
              <w:t>参照《宁波市人才分类目录（2018）》（甬人才发〔2018〕5号）及《宁波市人才分类认定操作细则》（甬人社发〔2019〕59号）认定。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39" w:hRule="atLeast"/>
          <w:tblCellSpacing w:w="0" w:type="dxa"/>
        </w:trPr>
        <w:tc>
          <w:tcPr>
            <w:tcW w:w="1102" w:type="dxa"/>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0"/>
                <w:szCs w:val="20"/>
              </w:rPr>
            </w:pPr>
            <w:r>
              <w:rPr>
                <w:rFonts w:hint="eastAsia" w:ascii="微软雅黑" w:hAnsi="微软雅黑" w:eastAsia="微软雅黑" w:cs="微软雅黑"/>
                <w:i w:val="0"/>
                <w:caps w:val="0"/>
                <w:color w:val="686868"/>
                <w:spacing w:val="0"/>
                <w:sz w:val="20"/>
                <w:szCs w:val="20"/>
                <w:bdr w:val="none" w:color="auto" w:sz="0" w:space="0"/>
              </w:rPr>
              <w:t>学科带头人</w:t>
            </w:r>
          </w:p>
        </w:tc>
        <w:tc>
          <w:tcPr>
            <w:tcW w:w="6211"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0"/>
                <w:szCs w:val="20"/>
              </w:rPr>
            </w:pPr>
            <w:r>
              <w:rPr>
                <w:rFonts w:hint="eastAsia" w:ascii="微软雅黑" w:hAnsi="微软雅黑" w:eastAsia="微软雅黑" w:cs="微软雅黑"/>
                <w:i w:val="0"/>
                <w:caps w:val="0"/>
                <w:color w:val="686868"/>
                <w:spacing w:val="0"/>
                <w:sz w:val="20"/>
                <w:szCs w:val="20"/>
                <w:bdr w:val="none" w:color="auto" w:sz="0" w:space="0"/>
              </w:rPr>
              <w:t>1.人文社科类年龄一般不超过50周岁，自然科学类年龄一般不超过45周岁；具有博士学位，且具有高级专业技术职务或聘高级专业技术岗位。2.近5年内，主持国家级项目（不含青年基金项目）1项；或获得省部级教学科研成果奖（政府奖）三等奖以上1项。3.近5年内，人文社科类发表CSSCI期刊学术论文5篇，其中A类期刊学术论文不少于2篇；自然科学类发表A类上以期刊学术论文5篇（至少2篇SCI一区期刊）或顶级期刊学术论文1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90" w:hRule="atLeast"/>
          <w:tblCellSpacing w:w="0" w:type="dxa"/>
        </w:trPr>
        <w:tc>
          <w:tcPr>
            <w:tcW w:w="1102" w:type="dxa"/>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0"/>
                <w:szCs w:val="20"/>
              </w:rPr>
            </w:pPr>
            <w:r>
              <w:rPr>
                <w:rFonts w:hint="eastAsia" w:ascii="微软雅黑" w:hAnsi="微软雅黑" w:eastAsia="微软雅黑" w:cs="微软雅黑"/>
                <w:i w:val="0"/>
                <w:caps w:val="0"/>
                <w:color w:val="686868"/>
                <w:spacing w:val="0"/>
                <w:sz w:val="20"/>
                <w:szCs w:val="20"/>
                <w:bdr w:val="none" w:color="auto" w:sz="0" w:space="0"/>
              </w:rPr>
              <w:t>学术骨干</w:t>
            </w:r>
          </w:p>
        </w:tc>
        <w:tc>
          <w:tcPr>
            <w:tcW w:w="6211"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0"/>
                <w:szCs w:val="20"/>
              </w:rPr>
            </w:pPr>
            <w:r>
              <w:rPr>
                <w:rFonts w:hint="eastAsia" w:ascii="微软雅黑" w:hAnsi="微软雅黑" w:eastAsia="微软雅黑" w:cs="微软雅黑"/>
                <w:i w:val="0"/>
                <w:caps w:val="0"/>
                <w:color w:val="686868"/>
                <w:spacing w:val="0"/>
                <w:sz w:val="20"/>
                <w:szCs w:val="20"/>
                <w:bdr w:val="none" w:color="auto" w:sz="0" w:space="0"/>
              </w:rPr>
              <w:t>1.年龄一般不超过45周岁，正高可适当放宽；具有博士学位，且具有高级专业技术职务；或者具有博士后经历；2.近5年内，主持国家级项目1项或省部级项目2项；或获得省部级教学科研成果奖（政府奖）三等奖以上1项；3.近5年内，人文社科类发表CSSCI期刊学术论文3篇，其中A类期刊学术论文不少于1篇；自然科学类发表A类以上期刊学术论文5篇（至少2篇SCI二区以上期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77" w:hRule="atLeast"/>
          <w:tblCellSpacing w:w="0" w:type="dxa"/>
        </w:trPr>
        <w:tc>
          <w:tcPr>
            <w:tcW w:w="1102" w:type="dxa"/>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0"/>
                <w:szCs w:val="20"/>
              </w:rPr>
            </w:pPr>
            <w:r>
              <w:rPr>
                <w:rFonts w:hint="eastAsia" w:ascii="微软雅黑" w:hAnsi="微软雅黑" w:eastAsia="微软雅黑" w:cs="微软雅黑"/>
                <w:i w:val="0"/>
                <w:caps w:val="0"/>
                <w:color w:val="686868"/>
                <w:spacing w:val="0"/>
                <w:sz w:val="20"/>
                <w:szCs w:val="20"/>
                <w:bdr w:val="none" w:color="auto" w:sz="0" w:space="0"/>
              </w:rPr>
              <w:t>博士A类</w:t>
            </w:r>
          </w:p>
        </w:tc>
        <w:tc>
          <w:tcPr>
            <w:tcW w:w="6211"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0"/>
                <w:szCs w:val="20"/>
              </w:rPr>
            </w:pPr>
            <w:r>
              <w:rPr>
                <w:rFonts w:hint="eastAsia" w:ascii="微软雅黑" w:hAnsi="微软雅黑" w:eastAsia="微软雅黑" w:cs="微软雅黑"/>
                <w:i w:val="0"/>
                <w:caps w:val="0"/>
                <w:color w:val="686868"/>
                <w:spacing w:val="0"/>
                <w:sz w:val="20"/>
                <w:szCs w:val="20"/>
                <w:bdr w:val="none" w:color="auto" w:sz="0" w:space="0"/>
              </w:rPr>
              <w:t>1.年龄一般不超过35周岁，具有副高或以上专业职务同时主持过省部级以上项目的，或者具有博士后经历的，年龄可以放宽至40周岁；2.近5年内，人文社科类发表CSSCI期刊学术论文3篇以上，或发表A类以上期刊学术论文1篇；自然科学类发表A类以上期刊学术论文2篇以上；3.具有特殊学科专业的博士，或者年龄在30周岁以下，毕业于国家“双一流”重点高校或重点研究机构或海外著名高校的博士，由校院两级进行协商确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38" w:hRule="atLeast"/>
          <w:tblCellSpacing w:w="0" w:type="dxa"/>
        </w:trPr>
        <w:tc>
          <w:tcPr>
            <w:tcW w:w="1102" w:type="dxa"/>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0"/>
                <w:szCs w:val="20"/>
              </w:rPr>
            </w:pPr>
            <w:r>
              <w:rPr>
                <w:rFonts w:hint="eastAsia" w:ascii="微软雅黑" w:hAnsi="微软雅黑" w:eastAsia="微软雅黑" w:cs="微软雅黑"/>
                <w:i w:val="0"/>
                <w:caps w:val="0"/>
                <w:color w:val="686868"/>
                <w:spacing w:val="0"/>
                <w:sz w:val="20"/>
                <w:szCs w:val="20"/>
                <w:bdr w:val="none" w:color="auto" w:sz="0" w:space="0"/>
              </w:rPr>
              <w:t>博士B类</w:t>
            </w:r>
          </w:p>
        </w:tc>
        <w:tc>
          <w:tcPr>
            <w:tcW w:w="6211"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0"/>
                <w:szCs w:val="20"/>
              </w:rPr>
            </w:pPr>
            <w:r>
              <w:rPr>
                <w:rFonts w:hint="eastAsia" w:ascii="微软雅黑" w:hAnsi="微软雅黑" w:eastAsia="微软雅黑" w:cs="微软雅黑"/>
                <w:i w:val="0"/>
                <w:caps w:val="0"/>
                <w:color w:val="686868"/>
                <w:spacing w:val="0"/>
                <w:sz w:val="20"/>
                <w:szCs w:val="20"/>
                <w:bdr w:val="none" w:color="auto" w:sz="0" w:space="0"/>
              </w:rPr>
              <w:t>1.年龄一般不超过45周岁；具有博士学位；2.符合学校学科或专业发展要求。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89" w:hRule="atLeast"/>
          <w:tblCellSpacing w:w="0" w:type="dxa"/>
        </w:trPr>
        <w:tc>
          <w:tcPr>
            <w:tcW w:w="1102" w:type="dxa"/>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0"/>
                <w:szCs w:val="20"/>
              </w:rPr>
            </w:pPr>
            <w:r>
              <w:rPr>
                <w:rFonts w:hint="eastAsia" w:ascii="微软雅黑" w:hAnsi="微软雅黑" w:eastAsia="微软雅黑" w:cs="微软雅黑"/>
                <w:i w:val="0"/>
                <w:caps w:val="0"/>
                <w:color w:val="686868"/>
                <w:spacing w:val="0"/>
                <w:sz w:val="20"/>
                <w:szCs w:val="20"/>
                <w:bdr w:val="none" w:color="auto" w:sz="0" w:space="0"/>
              </w:rPr>
              <w:t>海外（境外）人才</w:t>
            </w:r>
          </w:p>
        </w:tc>
        <w:tc>
          <w:tcPr>
            <w:tcW w:w="6211"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0"/>
                <w:szCs w:val="20"/>
              </w:rPr>
            </w:pPr>
            <w:r>
              <w:rPr>
                <w:rFonts w:hint="eastAsia" w:ascii="微软雅黑" w:hAnsi="微软雅黑" w:eastAsia="微软雅黑" w:cs="微软雅黑"/>
                <w:i w:val="0"/>
                <w:caps w:val="0"/>
                <w:color w:val="686868"/>
                <w:spacing w:val="0"/>
                <w:sz w:val="20"/>
                <w:szCs w:val="20"/>
                <w:bdr w:val="none" w:color="auto" w:sz="0" w:space="0"/>
              </w:rPr>
              <w:t>1.年龄一般不超过45周岁；具有博士学位；2.近5年内，人文社科类发表SSCI或SCI期刊学术论文2篇以上；自然科学类发表SCI二区以上期刊学术论文2篇以上；或者其他可以认定为相当的学术成果。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01" w:hRule="atLeast"/>
          <w:tblCellSpacing w:w="0" w:type="dxa"/>
        </w:trPr>
        <w:tc>
          <w:tcPr>
            <w:tcW w:w="7313" w:type="dxa"/>
            <w:gridSpan w:val="2"/>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0"/>
                <w:szCs w:val="20"/>
              </w:rPr>
            </w:pPr>
            <w:r>
              <w:rPr>
                <w:rFonts w:hint="eastAsia" w:ascii="微软雅黑" w:hAnsi="微软雅黑" w:eastAsia="微软雅黑" w:cs="微软雅黑"/>
                <w:i w:val="0"/>
                <w:caps w:val="0"/>
                <w:color w:val="686868"/>
                <w:spacing w:val="0"/>
                <w:sz w:val="20"/>
                <w:szCs w:val="20"/>
                <w:bdr w:val="none" w:color="auto" w:sz="0" w:space="0"/>
              </w:rPr>
              <w:t>注：学术论文期刊级别按浙江万里学院职称评审标准确定（见附件3）。</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caps w:val="0"/>
          <w:color w:val="686868"/>
          <w:spacing w:val="0"/>
          <w:sz w:val="20"/>
          <w:szCs w:val="20"/>
        </w:rPr>
      </w:pPr>
      <w:r>
        <w:rPr>
          <w:rFonts w:hint="eastAsia" w:ascii="微软雅黑" w:hAnsi="微软雅黑" w:eastAsia="微软雅黑" w:cs="微软雅黑"/>
          <w:i w:val="0"/>
          <w:caps w:val="0"/>
          <w:color w:val="686868"/>
          <w:spacing w:val="0"/>
          <w:sz w:val="20"/>
          <w:szCs w:val="20"/>
          <w:bdr w:val="none" w:color="auto" w:sz="0" w:space="0"/>
        </w:rPr>
        <w:t>（二）人才引进待遇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caps w:val="0"/>
          <w:color w:val="686868"/>
          <w:spacing w:val="0"/>
          <w:sz w:val="20"/>
          <w:szCs w:val="20"/>
        </w:rPr>
      </w:pPr>
      <w:r>
        <w:rPr>
          <w:rFonts w:hint="eastAsia" w:ascii="微软雅黑" w:hAnsi="微软雅黑" w:eastAsia="微软雅黑" w:cs="微软雅黑"/>
          <w:i w:val="0"/>
          <w:caps w:val="0"/>
          <w:color w:val="686868"/>
          <w:spacing w:val="0"/>
          <w:sz w:val="20"/>
          <w:szCs w:val="20"/>
          <w:bdr w:val="none" w:color="auto" w:sz="0" w:space="0"/>
        </w:rPr>
        <w:t>学校根据引进人才类别提供不同酬薪待遇及支持政策，见下表《浙江万里学院人才引进待遇》：</w:t>
      </w:r>
    </w:p>
    <w:tbl>
      <w:tblPr>
        <w:tblW w:w="8014"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88"/>
        <w:gridCol w:w="1451"/>
        <w:gridCol w:w="1175"/>
        <w:gridCol w:w="2450"/>
        <w:gridCol w:w="18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26" w:hRule="atLeast"/>
          <w:tblCellSpacing w:w="0" w:type="dxa"/>
          <w:jc w:val="center"/>
        </w:trPr>
        <w:tc>
          <w:tcPr>
            <w:tcW w:w="1089" w:type="dxa"/>
            <w:tcBorders>
              <w:top w:val="single" w:color="000000" w:sz="4" w:space="0"/>
              <w:left w:val="single" w:color="000000" w:sz="4" w:space="0"/>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人才类别</w:t>
            </w:r>
          </w:p>
        </w:tc>
        <w:tc>
          <w:tcPr>
            <w:tcW w:w="1453" w:type="dxa"/>
            <w:tcBorders>
              <w:top w:val="single" w:color="000000" w:sz="4" w:space="0"/>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购房补贴</w:t>
            </w:r>
          </w:p>
        </w:tc>
        <w:tc>
          <w:tcPr>
            <w:tcW w:w="1177" w:type="dxa"/>
            <w:tcBorders>
              <w:top w:val="single" w:color="000000" w:sz="4" w:space="0"/>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宁波市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购房补贴</w:t>
            </w:r>
          </w:p>
        </w:tc>
        <w:tc>
          <w:tcPr>
            <w:tcW w:w="2454" w:type="dxa"/>
            <w:tcBorders>
              <w:top w:val="single" w:color="000000" w:sz="4" w:space="0"/>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科研启动费</w:t>
            </w:r>
          </w:p>
        </w:tc>
        <w:tc>
          <w:tcPr>
            <w:tcW w:w="1853" w:type="dxa"/>
            <w:tcBorders>
              <w:top w:val="single" w:color="000000" w:sz="4" w:space="0"/>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年薪</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8" w:hRule="atLeast"/>
          <w:tblCellSpacing w:w="0" w:type="dxa"/>
          <w:jc w:val="center"/>
        </w:trPr>
        <w:tc>
          <w:tcPr>
            <w:tcW w:w="1089" w:type="dxa"/>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顶尖人才</w:t>
            </w:r>
          </w:p>
        </w:tc>
        <w:tc>
          <w:tcPr>
            <w:tcW w:w="6912" w:type="dxa"/>
            <w:gridSpan w:val="4"/>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一人一议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9" w:hRule="atLeast"/>
          <w:tblCellSpacing w:w="0" w:type="dxa"/>
          <w:jc w:val="center"/>
        </w:trPr>
        <w:tc>
          <w:tcPr>
            <w:tcW w:w="1089" w:type="dxa"/>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特优人才</w:t>
            </w:r>
          </w:p>
        </w:tc>
        <w:tc>
          <w:tcPr>
            <w:tcW w:w="1453"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不少于250万元</w:t>
            </w:r>
          </w:p>
        </w:tc>
        <w:tc>
          <w:tcPr>
            <w:tcW w:w="1177" w:type="dxa"/>
            <w:tcBorders>
              <w:top w:val="single" w:color="000000" w:sz="4" w:space="0"/>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60万元以内</w:t>
            </w:r>
          </w:p>
        </w:tc>
        <w:tc>
          <w:tcPr>
            <w:tcW w:w="2454" w:type="dxa"/>
            <w:tcBorders>
              <w:top w:val="single" w:color="000000" w:sz="4" w:space="0"/>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人文社科类不少于60万元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自然科学类不少于150万元</w:t>
            </w:r>
          </w:p>
        </w:tc>
        <w:tc>
          <w:tcPr>
            <w:tcW w:w="1853" w:type="dxa"/>
            <w:tcBorders>
              <w:top w:val="single" w:color="000000" w:sz="4" w:space="0"/>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不少于100万元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39" w:hRule="atLeast"/>
          <w:tblCellSpacing w:w="0" w:type="dxa"/>
          <w:jc w:val="center"/>
        </w:trPr>
        <w:tc>
          <w:tcPr>
            <w:tcW w:w="1089" w:type="dxa"/>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领军人才</w:t>
            </w:r>
          </w:p>
        </w:tc>
        <w:tc>
          <w:tcPr>
            <w:tcW w:w="1453"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不少于200万元</w:t>
            </w:r>
          </w:p>
        </w:tc>
        <w:tc>
          <w:tcPr>
            <w:tcW w:w="1177"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40万元以内</w:t>
            </w:r>
          </w:p>
        </w:tc>
        <w:tc>
          <w:tcPr>
            <w:tcW w:w="2454"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人文社科类不少于60万元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自然科学类不少于100万元</w:t>
            </w:r>
          </w:p>
        </w:tc>
        <w:tc>
          <w:tcPr>
            <w:tcW w:w="1853"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不少于50万元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39" w:hRule="atLeast"/>
          <w:tblCellSpacing w:w="0" w:type="dxa"/>
          <w:jc w:val="center"/>
        </w:trPr>
        <w:tc>
          <w:tcPr>
            <w:tcW w:w="1089" w:type="dxa"/>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学科带头人</w:t>
            </w:r>
          </w:p>
        </w:tc>
        <w:tc>
          <w:tcPr>
            <w:tcW w:w="1453"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120－150万元</w:t>
            </w:r>
          </w:p>
        </w:tc>
        <w:tc>
          <w:tcPr>
            <w:tcW w:w="1177"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25万元以内</w:t>
            </w:r>
          </w:p>
        </w:tc>
        <w:tc>
          <w:tcPr>
            <w:tcW w:w="2454"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50－100万元</w:t>
            </w:r>
          </w:p>
        </w:tc>
        <w:tc>
          <w:tcPr>
            <w:tcW w:w="1853"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不少于40万元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8" w:hRule="atLeast"/>
          <w:tblCellSpacing w:w="0" w:type="dxa"/>
          <w:jc w:val="center"/>
        </w:trPr>
        <w:tc>
          <w:tcPr>
            <w:tcW w:w="1089" w:type="dxa"/>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学术骨干</w:t>
            </w:r>
          </w:p>
        </w:tc>
        <w:tc>
          <w:tcPr>
            <w:tcW w:w="1453"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90－120万元</w:t>
            </w:r>
          </w:p>
        </w:tc>
        <w:tc>
          <w:tcPr>
            <w:tcW w:w="1177" w:type="dxa"/>
            <w:vMerge w:val="restart"/>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20万元以内</w:t>
            </w:r>
          </w:p>
        </w:tc>
        <w:tc>
          <w:tcPr>
            <w:tcW w:w="2454"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10－50万元</w:t>
            </w:r>
          </w:p>
        </w:tc>
        <w:tc>
          <w:tcPr>
            <w:tcW w:w="1853"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不少于30万元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3" w:hRule="atLeast"/>
          <w:tblCellSpacing w:w="0" w:type="dxa"/>
          <w:jc w:val="center"/>
        </w:trPr>
        <w:tc>
          <w:tcPr>
            <w:tcW w:w="1089" w:type="dxa"/>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博士A类</w:t>
            </w:r>
          </w:p>
        </w:tc>
        <w:tc>
          <w:tcPr>
            <w:tcW w:w="1453"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70－90万元</w:t>
            </w:r>
          </w:p>
        </w:tc>
        <w:tc>
          <w:tcPr>
            <w:tcW w:w="1177" w:type="dxa"/>
            <w:vMerge w:val="continue"/>
            <w:tcBorders>
              <w:top w:val="nil"/>
              <w:left w:val="nil"/>
              <w:bottom w:val="single" w:color="000000" w:sz="4" w:space="0"/>
              <w:right w:val="single" w:color="000000" w:sz="4" w:space="0"/>
            </w:tcBorders>
            <w:shd w:val="clear"/>
            <w:tcMar>
              <w:left w:w="88" w:type="dxa"/>
              <w:right w:w="88" w:type="dxa"/>
            </w:tcMar>
            <w:vAlign w:val="center"/>
          </w:tcPr>
          <w:p>
            <w:pPr>
              <w:rPr>
                <w:rFonts w:hint="eastAsia" w:ascii="微软雅黑" w:hAnsi="微软雅黑" w:eastAsia="微软雅黑" w:cs="微软雅黑"/>
                <w:color w:val="686868"/>
                <w:sz w:val="20"/>
                <w:szCs w:val="20"/>
              </w:rPr>
            </w:pPr>
          </w:p>
        </w:tc>
        <w:tc>
          <w:tcPr>
            <w:tcW w:w="2454"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5－10万元</w:t>
            </w:r>
          </w:p>
        </w:tc>
        <w:tc>
          <w:tcPr>
            <w:tcW w:w="1853"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首聘三年内不低于校内副高七级岗待遇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3" w:hRule="atLeast"/>
          <w:tblCellSpacing w:w="0" w:type="dxa"/>
          <w:jc w:val="center"/>
        </w:trPr>
        <w:tc>
          <w:tcPr>
            <w:tcW w:w="1089" w:type="dxa"/>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博士B类</w:t>
            </w:r>
          </w:p>
        </w:tc>
        <w:tc>
          <w:tcPr>
            <w:tcW w:w="1453"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30－50万元</w:t>
            </w:r>
          </w:p>
        </w:tc>
        <w:tc>
          <w:tcPr>
            <w:tcW w:w="1177" w:type="dxa"/>
            <w:vMerge w:val="continue"/>
            <w:tcBorders>
              <w:top w:val="nil"/>
              <w:left w:val="nil"/>
              <w:bottom w:val="single" w:color="000000" w:sz="4" w:space="0"/>
              <w:right w:val="single" w:color="000000" w:sz="4" w:space="0"/>
            </w:tcBorders>
            <w:shd w:val="clear"/>
            <w:tcMar>
              <w:left w:w="88" w:type="dxa"/>
              <w:right w:w="88" w:type="dxa"/>
            </w:tcMar>
            <w:vAlign w:val="center"/>
          </w:tcPr>
          <w:p>
            <w:pPr>
              <w:rPr>
                <w:rFonts w:hint="eastAsia" w:ascii="微软雅黑" w:hAnsi="微软雅黑" w:eastAsia="微软雅黑" w:cs="微软雅黑"/>
                <w:color w:val="686868"/>
                <w:sz w:val="20"/>
                <w:szCs w:val="20"/>
              </w:rPr>
            </w:pPr>
          </w:p>
        </w:tc>
        <w:tc>
          <w:tcPr>
            <w:tcW w:w="2454"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5－10万元</w:t>
            </w:r>
          </w:p>
        </w:tc>
        <w:tc>
          <w:tcPr>
            <w:tcW w:w="1853"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按学校同类人员待遇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6" w:hRule="atLeast"/>
          <w:tblCellSpacing w:w="0" w:type="dxa"/>
          <w:jc w:val="center"/>
        </w:trPr>
        <w:tc>
          <w:tcPr>
            <w:tcW w:w="1089" w:type="dxa"/>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海外（境外）人才</w:t>
            </w:r>
          </w:p>
        </w:tc>
        <w:tc>
          <w:tcPr>
            <w:tcW w:w="2617" w:type="dxa"/>
            <w:gridSpan w:val="2"/>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另定</w:t>
            </w:r>
          </w:p>
        </w:tc>
        <w:tc>
          <w:tcPr>
            <w:tcW w:w="2454"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5－20万元</w:t>
            </w:r>
          </w:p>
        </w:tc>
        <w:tc>
          <w:tcPr>
            <w:tcW w:w="1853" w:type="dxa"/>
            <w:tcBorders>
              <w:top w:val="nil"/>
              <w:left w:val="nil"/>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15－30万元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76" w:hRule="atLeast"/>
          <w:tblCellSpacing w:w="0" w:type="dxa"/>
          <w:jc w:val="center"/>
        </w:trPr>
        <w:tc>
          <w:tcPr>
            <w:tcW w:w="8014" w:type="dxa"/>
            <w:gridSpan w:val="5"/>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686868"/>
                <w:sz w:val="20"/>
                <w:szCs w:val="20"/>
              </w:rPr>
            </w:pPr>
            <w:r>
              <w:rPr>
                <w:rFonts w:hint="eastAsia" w:ascii="微软雅黑" w:hAnsi="微软雅黑" w:eastAsia="微软雅黑" w:cs="微软雅黑"/>
                <w:color w:val="686868"/>
                <w:sz w:val="20"/>
                <w:szCs w:val="20"/>
                <w:bdr w:val="none" w:color="auto" w:sz="0" w:space="0"/>
              </w:rPr>
              <w:t>注：1.申报宁波市购房补贴按照《宁波市人才安居实施办法》（甬建发[2018]180号）等相关规定办理；2.海外（境外）人才具体待遇根据引进人才层次采取“一人一议”方式确定；3.符合条件的新引进高层次人才可进入学校高层次人才专业技术职务评聘特殊通道（“绿色通道”）启动评审程序。</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92434"/>
    <w:rsid w:val="4CA924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2021-02-07T07:56:00Z</dcterms:created>
  <dc:creator>WPS_1609033458</dc:creator>
  <cp:lastModifiedBy>WPS_1609033458</cp:lastModifiedBy>
  <dcterms:modified xsi:type="dcterms:W3CDTF">2021-02-07T07:56:23Z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