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text" w:horzAnchor="page" w:tblpX="1383" w:tblpY="1799"/>
        <w:tblOverlap w:val="never"/>
        <w:tblW w:w="975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035"/>
        <w:gridCol w:w="900"/>
        <w:gridCol w:w="645"/>
        <w:gridCol w:w="720"/>
        <w:gridCol w:w="990"/>
        <w:gridCol w:w="1110"/>
        <w:gridCol w:w="2400"/>
        <w:gridCol w:w="141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7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u w:val="single"/>
                <w:bdr w:val="none" w:color="auto" w:sz="0" w:space="0"/>
                <w:lang w:val="en-US" w:eastAsia="zh-CN" w:bidi="ar"/>
              </w:rPr>
              <w:t>山西卫生健康职业学院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u w:val="single"/>
                <w:bdr w:val="none" w:color="auto" w:sz="0" w:space="0"/>
                <w:lang w:val="en-US" w:eastAsia="zh-CN" w:bidi="ar"/>
              </w:rPr>
              <w:t>2021年聘用制人员招聘岗位表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招聘部门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招聘计划数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学历、学位要求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其它要求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护理学院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护理教师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硕士专业不限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本科要求为护理学或临床医学专业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具有护士资格证或医师资格证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山西晋中榆次、太谷两地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护理学院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护理实验员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若获得过国赛或省赛奖励，学历可放宽至大学专科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具有护士资格证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山西晋中太谷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医学基础部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解剖教师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麻醉学（专硕）、基础医学（学硕）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本科专业为基础医学、临床医学、医学影像学、中医学、中西医临床医学、法医学、生物科学时，研究生专业可不限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山西晋中榆次、太谷两地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医学基础部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眼视光教师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眼科学、耳鼻喉科学、临床医学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若本科专业为眼视光（医）学时，学历可放宽至大学本科，研究生专业可不限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山西晋中榆次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口腔系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口腔实训教师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中级及以上职称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山西晋中榆次、太谷两地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医学系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内科教师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临床医学、内科学、神经病学、精神病与精神卫生学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医师资格证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山西晋中榆次、太谷两地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医学系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临床实验员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山西晋中榆次、太谷两地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中医系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中医康复教师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山西晋中榆次、太谷两地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卫管.人文社科部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汉语言文学、中国古代文学、中国现当代文学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教师资格证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山西晋中榆次、太谷两地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卫管.人文社科部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预防医学教师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硕士专业不限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本科要求为预防医学专业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山西晋中榆次、太谷两地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思政部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专职思政教师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哲学类（0101）、政治学类、马克思主义理论类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本科专业属于哲学类、政治学类、马克思主义理论类范畴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山西晋中榆次、太谷两地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康养学院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专职辅导员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山西晋中太谷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党委办公室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干事1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具备一定的写作能力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山西晋中榆次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安全与后勤管理处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干事2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（高中起点）大学本科及以上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土木类或中国语言文学类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具备一定的写作能力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山西晋中榆次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财务处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会计（学）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会计初级及以上职称,2020年或2021年应届毕业生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山西晋中榆次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jc w:val="left"/>
      </w:pPr>
      <w:r>
        <w:rPr>
          <w:rFonts w:ascii="等线" w:hAnsi="等线" w:eastAsia="等线" w:cs="等线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spacing w:val="0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D567C"/>
    <w:rsid w:val="247D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2021-02-08T07:14:00Z</dcterms:created>
  <dc:creator>ぺ灬cc果冻ル</dc:creator>
  <cp:lastModifiedBy>ぺ灬cc果冻ル</cp:lastModifiedBy>
  <dcterms:modified xsi:type="dcterms:W3CDTF">2021-02-08T07:14:46Z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