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58240" behindDoc="1" locked="0" layoutInCell="1" allowOverlap="1">
            <wp:simplePos x="0" y="0"/>
            <wp:positionH relativeFrom="column">
              <wp:posOffset>1270</wp:posOffset>
            </wp:positionH>
            <wp:positionV relativeFrom="paragraph">
              <wp:posOffset>-236855</wp:posOffset>
            </wp:positionV>
            <wp:extent cx="5611495" cy="2095500"/>
            <wp:effectExtent l="19050" t="0" r="8255" b="0"/>
            <wp:wrapNone/>
            <wp:docPr id="50" name="图片 50"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红头"/>
                    <pic:cNvPicPr>
                      <a:picLocks noChangeAspect="1" noChangeArrowheads="1"/>
                    </pic:cNvPicPr>
                  </pic:nvPicPr>
                  <pic:blipFill>
                    <a:blip r:embed="rId10" cstate="print"/>
                    <a:srcRect/>
                    <a:stretch>
                      <a:fillRect/>
                    </a:stretch>
                  </pic:blipFill>
                  <pic:spPr>
                    <a:xfrm>
                      <a:off x="0" y="0"/>
                      <a:ext cx="5611495" cy="2095500"/>
                    </a:xfrm>
                    <a:prstGeom prst="rect">
                      <a:avLst/>
                    </a:prstGeom>
                    <a:noFill/>
                    <a:ln w="9525">
                      <a:noFill/>
                      <a:miter lim="800000"/>
                      <a:headEnd/>
                      <a:tailEnd/>
                    </a:ln>
                  </pic:spPr>
                </pic:pic>
              </a:graphicData>
            </a:graphic>
          </wp:anchor>
        </w:drawing>
      </w:r>
    </w:p>
    <w:p/>
    <w:p/>
    <w:p/>
    <w:p/>
    <w:p/>
    <w:p>
      <w:pPr>
        <w:spacing w:line="520" w:lineRule="exact"/>
        <w:jc w:val="center"/>
        <w:rPr>
          <w:rFonts w:ascii="仿宋_GB2312" w:eastAsia="仿宋_GB2312"/>
          <w:sz w:val="32"/>
          <w:szCs w:val="32"/>
        </w:rPr>
      </w:pPr>
      <w:r>
        <w:rPr>
          <w:rFonts w:hint="eastAsia" w:ascii="仿宋_GB2312" w:eastAsia="仿宋_GB2312"/>
          <w:sz w:val="32"/>
          <w:szCs w:val="32"/>
        </w:rPr>
        <w:t>善教人〔2021〕15号</w:t>
      </w:r>
    </w:p>
    <w:p>
      <w:pPr>
        <w:spacing w:line="520" w:lineRule="exact"/>
        <w:jc w:val="center"/>
        <w:rPr>
          <w:sz w:val="44"/>
        </w:rPr>
      </w:pPr>
    </w:p>
    <w:p>
      <w:pPr>
        <w:spacing w:line="560" w:lineRule="exact"/>
        <w:jc w:val="center"/>
        <w:rPr>
          <w:sz w:val="44"/>
        </w:rPr>
      </w:pP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嘉 善 县 教 育 局</w:t>
      </w:r>
    </w:p>
    <w:p>
      <w:pPr>
        <w:spacing w:line="560" w:lineRule="exact"/>
        <w:jc w:val="center"/>
        <w:rPr>
          <w:rFonts w:ascii="方正小标宋简体" w:eastAsia="方正小标宋简体"/>
          <w:bCs/>
          <w:sz w:val="44"/>
          <w:szCs w:val="44"/>
        </w:rPr>
      </w:pPr>
      <w:bookmarkStart w:id="2" w:name="_GoBack"/>
      <w:r>
        <w:rPr>
          <w:rFonts w:hint="eastAsia" w:ascii="方正小标宋简体" w:eastAsia="方正小标宋简体"/>
          <w:bCs/>
          <w:sz w:val="44"/>
          <w:szCs w:val="44"/>
        </w:rPr>
        <w:t>2021年嘉善县教育局招聘高层次人才公告（第二批）</w:t>
      </w:r>
      <w:bookmarkEnd w:id="2"/>
    </w:p>
    <w:p>
      <w:pPr>
        <w:spacing w:line="560" w:lineRule="exact"/>
        <w:jc w:val="center"/>
        <w:rPr>
          <w:rFonts w:ascii="方正小标宋简体" w:eastAsia="方正小标宋简体"/>
          <w:bCs/>
          <w:sz w:val="44"/>
          <w:szCs w:val="44"/>
        </w:rPr>
      </w:pPr>
    </w:p>
    <w:p>
      <w:pPr>
        <w:spacing w:line="580" w:lineRule="exact"/>
        <w:rPr>
          <w:rFonts w:ascii="仿宋_GB2312" w:eastAsia="仿宋_GB2312"/>
          <w:sz w:val="32"/>
          <w:szCs w:val="32"/>
        </w:rPr>
      </w:pPr>
      <w:r>
        <w:rPr>
          <w:rFonts w:hint="eastAsia" w:ascii="仿宋_GB2312" w:eastAsia="仿宋_GB2312"/>
          <w:sz w:val="32"/>
          <w:szCs w:val="32"/>
        </w:rPr>
        <w:t>局属各学校（单位）：</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为进一步优化队伍结构，提高师资层次，促进嘉善教育事业高质量发展，嘉善县教育系统将开展第二批公开招聘高层次人才，现将有关事项公告如下：</w:t>
      </w:r>
    </w:p>
    <w:p>
      <w:pPr>
        <w:widowControl/>
        <w:spacing w:line="600" w:lineRule="exact"/>
        <w:ind w:firstLine="662" w:firstLineChars="200"/>
        <w:rPr>
          <w:rFonts w:ascii="黑体" w:hAnsi="黑体" w:eastAsia="黑体" w:cs="仿宋"/>
          <w:color w:val="000000"/>
          <w:sz w:val="32"/>
          <w:szCs w:val="32"/>
          <w:u w:color="000000"/>
        </w:rPr>
      </w:pPr>
      <w:r>
        <w:rPr>
          <w:rFonts w:hint="eastAsia" w:ascii="黑体" w:hAnsi="黑体" w:eastAsia="黑体" w:cs="仿宋"/>
          <w:color w:val="000000"/>
          <w:sz w:val="32"/>
          <w:szCs w:val="32"/>
          <w:u w:color="000000"/>
        </w:rPr>
        <w:t>一、招聘范围和条件</w:t>
      </w:r>
    </w:p>
    <w:p>
      <w:pPr>
        <w:widowControl/>
        <w:spacing w:line="600" w:lineRule="exact"/>
        <w:ind w:firstLine="662" w:firstLineChars="200"/>
        <w:rPr>
          <w:rFonts w:ascii="仿宋_GB2312" w:hAnsi="仿宋" w:eastAsia="仿宋_GB2312" w:cs="仿宋"/>
          <w:b/>
          <w:color w:val="000000"/>
          <w:sz w:val="32"/>
          <w:szCs w:val="32"/>
          <w:u w:color="000000"/>
        </w:rPr>
      </w:pPr>
      <w:r>
        <w:rPr>
          <w:rFonts w:hint="eastAsia" w:ascii="仿宋_GB2312" w:hAnsi="仿宋" w:eastAsia="仿宋_GB2312" w:cs="仿宋"/>
          <w:b/>
          <w:color w:val="000000"/>
          <w:sz w:val="32"/>
          <w:szCs w:val="32"/>
          <w:u w:color="000000"/>
        </w:rPr>
        <w:t>（一）招聘范围</w:t>
      </w:r>
    </w:p>
    <w:p>
      <w:pPr>
        <w:spacing w:line="500" w:lineRule="exact"/>
        <w:ind w:firstLine="608"/>
        <w:rPr>
          <w:rFonts w:ascii="仿宋_GB2312" w:eastAsia="仿宋_GB2312"/>
          <w:spacing w:val="-4"/>
          <w:sz w:val="30"/>
          <w:szCs w:val="30"/>
        </w:rPr>
      </w:pPr>
      <w:r>
        <w:rPr>
          <w:rFonts w:hint="eastAsia" w:ascii="仿宋_GB2312" w:hAnsi="仿宋" w:eastAsia="仿宋_GB2312" w:cs="仿宋"/>
          <w:color w:val="000000"/>
          <w:sz w:val="32"/>
          <w:szCs w:val="32"/>
          <w:u w:color="000000"/>
        </w:rPr>
        <w:t>面向全国招聘普通高校</w:t>
      </w:r>
      <w:r>
        <w:rPr>
          <w:rFonts w:hint="eastAsia" w:ascii="仿宋_GB2312" w:eastAsia="仿宋_GB2312"/>
          <w:spacing w:val="-4"/>
          <w:sz w:val="30"/>
          <w:szCs w:val="30"/>
        </w:rPr>
        <w:t>全日制硕士研究生及以上应届毕业生。</w:t>
      </w:r>
    </w:p>
    <w:p>
      <w:pPr>
        <w:widowControl/>
        <w:spacing w:line="600" w:lineRule="exact"/>
        <w:ind w:firstLine="662" w:firstLineChars="200"/>
        <w:rPr>
          <w:rFonts w:ascii="仿宋_GB2312" w:hAnsi="仿宋" w:eastAsia="仿宋_GB2312" w:cs="仿宋"/>
          <w:b/>
          <w:color w:val="000000"/>
          <w:sz w:val="32"/>
          <w:szCs w:val="32"/>
          <w:u w:color="000000"/>
        </w:rPr>
      </w:pPr>
      <w:r>
        <w:rPr>
          <w:rFonts w:hint="eastAsia" w:ascii="仿宋_GB2312" w:hAnsi="仿宋" w:eastAsia="仿宋_GB2312" w:cs="仿宋"/>
          <w:b/>
          <w:color w:val="000000"/>
          <w:sz w:val="32"/>
          <w:szCs w:val="32"/>
          <w:u w:color="000000"/>
        </w:rPr>
        <w:t>（二）招聘条件</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1.具有中华人民共和国国籍，拥护中国共产党的领导，拥护中华人民共和国宪法，具有坚定正确的政治方向和全心全意为人民服务的宗旨意识。</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2.遵纪守法，品行端正，未受过任何刑事、党纪、政纪、校纪处分。服从组织分配，自愿从事所分配的岗位工作，具备正常履行职责的身体条件。</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3. 研究生及以上学历的毕业生</w:t>
      </w:r>
      <w:r>
        <w:rPr>
          <w:rFonts w:hint="eastAsia" w:ascii="仿宋_GB2312" w:eastAsia="仿宋_GB2312"/>
          <w:spacing w:val="-4"/>
          <w:sz w:val="30"/>
          <w:szCs w:val="30"/>
        </w:rPr>
        <w:t>（本科背景须为全日制普通高校第一批录取专业）</w:t>
      </w:r>
      <w:r>
        <w:rPr>
          <w:rFonts w:hint="eastAsia" w:ascii="仿宋_GB2312" w:hAnsi="仿宋" w:eastAsia="仿宋_GB2312" w:cs="仿宋"/>
          <w:color w:val="000000"/>
          <w:sz w:val="32"/>
          <w:szCs w:val="32"/>
          <w:u w:color="000000"/>
        </w:rPr>
        <w:t>，本科及以上学历阶段均须全日制普通高校学历且具有相应学位。应聘人员均须以其最高学历所学专业报考符合招聘条件的岗位（专业参考目录见附件4）。</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4.下列人员不得报考：（1）在国家法定考试中被认定有舞弊等严重违反纪律行为人员；（2）正在接受纪律审查的人员、涉嫌违法犯罪正在接受调查的人员以及国家和省另有规定不得聘用的其它情形人员。</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5.实行回避制度，应聘人员不得报考聘用后即构成回避关系的选聘岗位。</w:t>
      </w:r>
    </w:p>
    <w:p>
      <w:pPr>
        <w:widowControl/>
        <w:spacing w:line="600" w:lineRule="exact"/>
        <w:ind w:firstLine="662" w:firstLineChars="200"/>
        <w:rPr>
          <w:rFonts w:ascii="黑体" w:hAnsi="黑体" w:eastAsia="黑体" w:cs="仿宋"/>
          <w:color w:val="000000"/>
          <w:sz w:val="32"/>
          <w:szCs w:val="32"/>
          <w:u w:color="000000"/>
        </w:rPr>
      </w:pPr>
      <w:r>
        <w:rPr>
          <w:rFonts w:hint="eastAsia" w:ascii="黑体" w:hAnsi="黑体" w:eastAsia="黑体" w:cs="仿宋"/>
          <w:color w:val="000000"/>
          <w:sz w:val="32"/>
          <w:szCs w:val="32"/>
          <w:u w:color="000000"/>
        </w:rPr>
        <w:t>二、招聘岗位和人数</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本次招聘教育高层次人才50人（具体岗位见附件1），普通高中教师13人、职业高中教师7人、初中教师9人，小学21人。</w:t>
      </w:r>
    </w:p>
    <w:p>
      <w:pPr>
        <w:spacing w:line="540" w:lineRule="exact"/>
        <w:ind w:firstLine="662" w:firstLineChars="200"/>
        <w:rPr>
          <w:rFonts w:ascii="黑体" w:hAnsi="黑体" w:eastAsia="黑体" w:cs="Helvetica"/>
          <w:color w:val="000000"/>
          <w:sz w:val="32"/>
          <w:szCs w:val="32"/>
        </w:rPr>
      </w:pPr>
      <w:r>
        <w:rPr>
          <w:rFonts w:hint="eastAsia" w:ascii="黑体" w:hAnsi="黑体" w:eastAsia="黑体" w:cs="Helvetica"/>
          <w:color w:val="000000"/>
          <w:sz w:val="32"/>
          <w:szCs w:val="32"/>
        </w:rPr>
        <w:t>三、招考程序和办法</w:t>
      </w:r>
    </w:p>
    <w:p>
      <w:pPr>
        <w:spacing w:line="540" w:lineRule="exact"/>
        <w:ind w:firstLine="662"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（一）报名</w:t>
      </w:r>
    </w:p>
    <w:p>
      <w:pPr>
        <w:spacing w:line="540" w:lineRule="exact"/>
        <w:ind w:firstLine="662" w:firstLineChars="200"/>
        <w:rPr>
          <w:rFonts w:ascii="仿宋_GB2312" w:hAnsi="宋体" w:eastAsia="仿宋_GB2312"/>
          <w:b/>
          <w:color w:val="000000"/>
          <w:kern w:val="0"/>
          <w:sz w:val="32"/>
          <w:szCs w:val="32"/>
        </w:rPr>
      </w:pPr>
      <w:r>
        <w:rPr>
          <w:rFonts w:hint="eastAsia" w:ascii="仿宋_GB2312" w:eastAsia="仿宋_GB2312"/>
          <w:color w:val="000000"/>
          <w:sz w:val="32"/>
          <w:szCs w:val="32"/>
        </w:rPr>
        <w:t>本次招聘采用</w:t>
      </w:r>
      <w:r>
        <w:rPr>
          <w:rFonts w:hint="eastAsia" w:ascii="仿宋_GB2312" w:hAnsi="宋体" w:eastAsia="仿宋_GB2312"/>
          <w:color w:val="000000"/>
          <w:w w:val="105"/>
          <w:kern w:val="0"/>
          <w:sz w:val="32"/>
          <w:szCs w:val="32"/>
        </w:rPr>
        <w:t>现场报名方式，应聘人员按</w:t>
      </w: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）所列岗位报名，每人限报一个岗位。</w:t>
      </w:r>
    </w:p>
    <w:p>
      <w:pPr>
        <w:spacing w:line="540" w:lineRule="exact"/>
        <w:ind w:firstLine="662"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1.报名时间和地点</w:t>
      </w:r>
    </w:p>
    <w:p>
      <w:pPr>
        <w:spacing w:line="540" w:lineRule="exact"/>
        <w:ind w:firstLine="648" w:firstLineChars="196"/>
        <w:rPr>
          <w:rFonts w:ascii="仿宋_GB2312" w:hAnsi="宋体" w:eastAsia="仿宋_GB2312"/>
          <w:kern w:val="0"/>
          <w:sz w:val="32"/>
          <w:szCs w:val="32"/>
        </w:rPr>
      </w:pPr>
      <w:r>
        <w:rPr>
          <w:rFonts w:hint="eastAsia" w:ascii="仿宋_GB2312" w:hAnsi="宋体" w:eastAsia="仿宋_GB2312"/>
          <w:kern w:val="0"/>
          <w:sz w:val="32"/>
          <w:szCs w:val="32"/>
        </w:rPr>
        <w:t>（1）报名时间：2021年3月28日，上午</w:t>
      </w:r>
      <w:r>
        <w:rPr>
          <w:rFonts w:ascii="仿宋_GB2312" w:hAnsi="宋体" w:eastAsia="仿宋_GB2312"/>
          <w:kern w:val="0"/>
          <w:sz w:val="32"/>
          <w:szCs w:val="32"/>
        </w:rPr>
        <w:t>8</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r>
        <w:rPr>
          <w:rFonts w:ascii="仿宋_GB2312" w:hAnsi="宋体" w:eastAsia="仿宋_GB2312"/>
          <w:kern w:val="0"/>
          <w:sz w:val="32"/>
          <w:szCs w:val="32"/>
        </w:rPr>
        <w:t>11</w:t>
      </w:r>
      <w:r>
        <w:rPr>
          <w:rFonts w:hint="eastAsia" w:ascii="仿宋_GB2312" w:hAnsi="宋体" w:eastAsia="仿宋_GB2312"/>
          <w:kern w:val="0"/>
          <w:sz w:val="32"/>
          <w:szCs w:val="32"/>
        </w:rPr>
        <w:t>：</w:t>
      </w:r>
      <w:r>
        <w:rPr>
          <w:rFonts w:ascii="仿宋_GB2312" w:hAnsi="宋体" w:eastAsia="仿宋_GB2312"/>
          <w:kern w:val="0"/>
          <w:sz w:val="32"/>
          <w:szCs w:val="32"/>
        </w:rPr>
        <w:t>00</w:t>
      </w:r>
      <w:r>
        <w:rPr>
          <w:rFonts w:hint="eastAsia" w:ascii="仿宋_GB2312" w:hAnsi="宋体" w:eastAsia="仿宋_GB2312"/>
          <w:kern w:val="0"/>
          <w:sz w:val="32"/>
          <w:szCs w:val="32"/>
        </w:rPr>
        <w:t>。</w:t>
      </w:r>
      <w:r>
        <w:rPr>
          <w:rFonts w:ascii="仿宋_GB2312" w:hAnsi="宋体" w:eastAsia="仿宋_GB2312"/>
          <w:kern w:val="0"/>
          <w:sz w:val="32"/>
          <w:szCs w:val="32"/>
        </w:rPr>
        <w:t xml:space="preserve"> </w:t>
      </w:r>
    </w:p>
    <w:p>
      <w:pPr>
        <w:spacing w:line="540" w:lineRule="exact"/>
        <w:ind w:firstLine="648" w:firstLineChars="196"/>
        <w:rPr>
          <w:rFonts w:ascii="仿宋_GB2312" w:hAnsi="宋体" w:eastAsia="仿宋_GB2312"/>
          <w:kern w:val="0"/>
          <w:sz w:val="32"/>
          <w:szCs w:val="32"/>
        </w:rPr>
      </w:pPr>
      <w:r>
        <w:rPr>
          <w:rFonts w:hint="eastAsia" w:ascii="仿宋_GB2312" w:hAnsi="宋体" w:eastAsia="仿宋_GB2312"/>
          <w:kern w:val="0"/>
          <w:sz w:val="32"/>
          <w:szCs w:val="32"/>
        </w:rPr>
        <w:t>（2）报名地点：浙江广播电视大学嘉善学院（人民大道</w:t>
      </w:r>
      <w:r>
        <w:rPr>
          <w:rFonts w:ascii="仿宋_GB2312" w:hAnsi="宋体" w:eastAsia="仿宋_GB2312"/>
          <w:kern w:val="0"/>
          <w:sz w:val="32"/>
          <w:szCs w:val="32"/>
        </w:rPr>
        <w:t>315</w:t>
      </w:r>
      <w:r>
        <w:rPr>
          <w:rFonts w:hint="eastAsia" w:ascii="仿宋_GB2312" w:hAnsi="宋体" w:eastAsia="仿宋_GB2312"/>
          <w:kern w:val="0"/>
          <w:sz w:val="32"/>
          <w:szCs w:val="32"/>
        </w:rPr>
        <w:t>号）。</w:t>
      </w:r>
    </w:p>
    <w:p>
      <w:pPr>
        <w:spacing w:line="560" w:lineRule="exact"/>
        <w:ind w:firstLine="662"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2.报名所需材料</w:t>
      </w:r>
    </w:p>
    <w:p>
      <w:pPr>
        <w:spacing w:line="56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（1）报名登记表一份（报名现场领取），本人简历一份；</w:t>
      </w:r>
    </w:p>
    <w:p>
      <w:pPr>
        <w:spacing w:line="56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（2）2021年高校应届毕业生未取得学历证书的提供学校核发的成绩单和学籍证明原件、复印件；</w:t>
      </w:r>
    </w:p>
    <w:p>
      <w:pPr>
        <w:spacing w:line="56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（3）本人身份证原件及复印件；</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（4）研究生及以上学历须提供本科录取的批次证明（全国“双一流”建设高校和</w:t>
      </w:r>
      <w:r>
        <w:rPr>
          <w:rFonts w:ascii="仿宋_GB2312" w:eastAsia="仿宋_GB2312"/>
          <w:color w:val="000000"/>
          <w:sz w:val="32"/>
          <w:szCs w:val="32"/>
        </w:rPr>
        <w:t>中国美术学院、浙江工业大学、浙江师范大学、宁波大学、杭州电子科技大学、浙江理工大学、浙江工商大学、浙江中医药大学、浙江农林大学、温州医科大学、浙江财经大学、杭州师范大学等12所浙江省内重点建设本科院校</w:t>
      </w:r>
      <w:r>
        <w:rPr>
          <w:rFonts w:hint="eastAsia" w:ascii="仿宋_GB2312" w:eastAsia="仿宋_GB2312"/>
          <w:color w:val="000000"/>
          <w:sz w:val="32"/>
          <w:szCs w:val="32"/>
        </w:rPr>
        <w:t>除外）；</w:t>
      </w:r>
    </w:p>
    <w:p>
      <w:pPr>
        <w:spacing w:line="56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（5）近期一寸正面免冠证件照1张。</w:t>
      </w:r>
    </w:p>
    <w:p>
      <w:pPr>
        <w:widowControl/>
        <w:spacing w:line="600" w:lineRule="exact"/>
        <w:ind w:firstLine="662" w:firstLineChars="200"/>
        <w:rPr>
          <w:rFonts w:ascii="仿宋_GB2312" w:hAnsi="仿宋" w:eastAsia="仿宋_GB2312" w:cs="仿宋"/>
          <w:b/>
          <w:color w:val="000000"/>
          <w:sz w:val="32"/>
          <w:szCs w:val="32"/>
          <w:u w:color="000000"/>
        </w:rPr>
      </w:pPr>
      <w:r>
        <w:rPr>
          <w:rFonts w:hint="eastAsia" w:ascii="仿宋_GB2312" w:hAnsi="仿宋" w:eastAsia="仿宋_GB2312" w:cs="仿宋"/>
          <w:b/>
          <w:color w:val="000000"/>
          <w:sz w:val="32"/>
          <w:szCs w:val="32"/>
          <w:u w:color="000000"/>
        </w:rPr>
        <w:t>（二）考试</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1.考试时间地点：</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（1）考试时间：2021年3月28日下午（具体时间报名时另行通知。</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（2）考试地点：</w:t>
      </w:r>
      <w:r>
        <w:rPr>
          <w:rFonts w:hint="eastAsia" w:ascii="仿宋_GB2312" w:hAnsi="宋体" w:eastAsia="仿宋_GB2312"/>
          <w:kern w:val="0"/>
          <w:sz w:val="32"/>
          <w:szCs w:val="32"/>
        </w:rPr>
        <w:t>浙江广播电视大学嘉善学院（人民大道</w:t>
      </w:r>
      <w:r>
        <w:rPr>
          <w:rFonts w:ascii="仿宋_GB2312" w:hAnsi="宋体" w:eastAsia="仿宋_GB2312"/>
          <w:kern w:val="0"/>
          <w:sz w:val="32"/>
          <w:szCs w:val="32"/>
        </w:rPr>
        <w:t>315</w:t>
      </w:r>
      <w:r>
        <w:rPr>
          <w:rFonts w:hint="eastAsia" w:ascii="仿宋_GB2312" w:hAnsi="宋体" w:eastAsia="仿宋_GB2312"/>
          <w:kern w:val="0"/>
          <w:sz w:val="32"/>
          <w:szCs w:val="32"/>
        </w:rPr>
        <w:t>号）。</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2.考试形式：考试采取试讲加面谈（如学科需要，可安排笔试，笔试成绩不合格不予录用）的形式进行，主要测试应聘者把握学科的教学能力和专业素质。面试总分为100分，设75分为合格分数线，成绩保留两位小数。</w:t>
      </w:r>
    </w:p>
    <w:p>
      <w:pPr>
        <w:autoSpaceDE w:val="0"/>
        <w:autoSpaceDN w:val="0"/>
        <w:adjustRightInd w:val="0"/>
        <w:spacing w:line="540" w:lineRule="exact"/>
        <w:ind w:firstLine="662" w:firstLineChars="200"/>
        <w:jc w:val="left"/>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3.成绩公布。面试结束后成绩在嘉善县政府信息公开网：</w:t>
      </w:r>
      <w:r>
        <w:rPr>
          <w:rFonts w:ascii="仿宋_GB2312" w:eastAsia="仿宋_GB2312"/>
          <w:b/>
          <w:color w:val="000000"/>
          <w:sz w:val="32"/>
          <w:szCs w:val="32"/>
        </w:rPr>
        <w:t>http://www.jiashan.gov.cn/col/col1229418196/index.html</w:t>
      </w:r>
    </w:p>
    <w:p>
      <w:pPr>
        <w:widowControl/>
        <w:spacing w:line="600" w:lineRule="exact"/>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和“嘉善教育之声”微信公众号公布。</w:t>
      </w:r>
    </w:p>
    <w:p>
      <w:pPr>
        <w:autoSpaceDE w:val="0"/>
        <w:autoSpaceDN w:val="0"/>
        <w:adjustRightInd w:val="0"/>
        <w:spacing w:line="540" w:lineRule="exact"/>
        <w:ind w:firstLine="662" w:firstLineChars="200"/>
        <w:jc w:val="left"/>
        <w:rPr>
          <w:rFonts w:ascii="黑体" w:hAnsi="黑体" w:eastAsia="黑体"/>
          <w:sz w:val="32"/>
          <w:szCs w:val="32"/>
        </w:rPr>
      </w:pPr>
      <w:r>
        <w:rPr>
          <w:rFonts w:hint="eastAsia" w:ascii="仿宋_GB2312" w:eastAsia="仿宋_GB2312"/>
          <w:b/>
          <w:color w:val="000000"/>
          <w:sz w:val="32"/>
          <w:szCs w:val="32"/>
        </w:rPr>
        <w:t>（三）体检</w:t>
      </w:r>
    </w:p>
    <w:p>
      <w:pPr>
        <w:spacing w:line="540" w:lineRule="exact"/>
        <w:ind w:firstLine="662" w:firstLineChars="200"/>
        <w:rPr>
          <w:rFonts w:ascii="仿宋_GB2312" w:hAnsi="仿宋" w:eastAsia="仿宋_GB2312"/>
          <w:sz w:val="32"/>
          <w:szCs w:val="32"/>
        </w:rPr>
      </w:pPr>
      <w:r>
        <w:rPr>
          <w:rFonts w:hint="eastAsia" w:ascii="仿宋_GB2312" w:hAnsi="仿宋_GB2312" w:eastAsia="仿宋_GB2312" w:cs="Helvetica"/>
          <w:color w:val="000000"/>
          <w:sz w:val="32"/>
          <w:szCs w:val="32"/>
        </w:rPr>
        <w:t>按面试成绩从高分到低分以招聘计划人数</w:t>
      </w: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w:t>
      </w: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的比例确定体检、考核对象</w:t>
      </w:r>
      <w:r>
        <w:rPr>
          <w:rFonts w:hint="eastAsia" w:ascii="仿宋_GB2312" w:eastAsia="仿宋_GB2312"/>
          <w:color w:val="000000"/>
          <w:sz w:val="32"/>
          <w:szCs w:val="32"/>
        </w:rPr>
        <w:t>。</w:t>
      </w:r>
      <w:r>
        <w:rPr>
          <w:rFonts w:hint="eastAsia" w:ascii="仿宋_GB2312" w:eastAsia="仿宋_GB2312"/>
          <w:sz w:val="32"/>
          <w:szCs w:val="32"/>
        </w:rPr>
        <w:t>体检工作参照人社部、原卫生部、国家公务员局《关于进一步做好公务员考试录用体检工作的通知》（人社部发〔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65</w:t>
      </w:r>
      <w:r>
        <w:rPr>
          <w:rFonts w:hint="eastAsia" w:ascii="仿宋_GB2312" w:eastAsia="仿宋_GB2312"/>
          <w:sz w:val="32"/>
          <w:szCs w:val="32"/>
        </w:rPr>
        <w:t>号）执行。体检按人社部、国家卫计委、国家公务员局《关于修订〈公务员录用体检通用标准（试行）〉及〈公务员录用体检操作手册（试行）〉有关内容的通知》（人社部发〔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140</w:t>
      </w:r>
      <w:r>
        <w:rPr>
          <w:rFonts w:hint="eastAsia" w:ascii="仿宋_GB2312" w:eastAsia="仿宋_GB2312"/>
          <w:sz w:val="32"/>
          <w:szCs w:val="32"/>
        </w:rPr>
        <w:t>号）执行。</w:t>
      </w:r>
      <w:r>
        <w:rPr>
          <w:rFonts w:hint="eastAsia" w:ascii="仿宋_GB2312" w:hAnsi="仿宋" w:eastAsia="仿宋_GB2312"/>
          <w:sz w:val="32"/>
          <w:szCs w:val="32"/>
        </w:rPr>
        <w:t>体检合格者确定为考核对象。应聘人员不按规定的时间、地点参加体检，视作放弃。</w:t>
      </w:r>
    </w:p>
    <w:p>
      <w:pPr>
        <w:spacing w:line="540" w:lineRule="exact"/>
        <w:ind w:firstLine="645"/>
        <w:rPr>
          <w:rFonts w:ascii="仿宋_GB2312" w:hAnsi="仿宋" w:eastAsia="仿宋_GB2312"/>
          <w:sz w:val="32"/>
          <w:szCs w:val="32"/>
        </w:rPr>
      </w:pPr>
      <w:r>
        <w:rPr>
          <w:rFonts w:hint="eastAsia" w:ascii="黑体" w:hAnsi="黑体" w:eastAsia="黑体"/>
          <w:sz w:val="32"/>
          <w:szCs w:val="32"/>
        </w:rPr>
        <w:t>（四）考核</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考核工作参照国家公务员局《关于做好公务员录用考察工作的通知》（国公局发〔</w:t>
      </w:r>
      <w:r>
        <w:rPr>
          <w:rFonts w:ascii="仿宋_GB2312" w:hAnsi="仿宋" w:eastAsia="仿宋_GB2312"/>
          <w:sz w:val="32"/>
          <w:szCs w:val="32"/>
        </w:rPr>
        <w:t>2013</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号）进行。考核不合格的不予聘用。</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报考人员放弃体检或体检不合格、考察结论为不宜录用为事业编制在职教师的、不能在规定时间提供报考所需相关证明文件及其他材料、在拟录用人员名单公示前放弃录用资格的，由县教育局在相应岗位面试合格人员中按成绩从高分到低分递补。</w:t>
      </w:r>
    </w:p>
    <w:p>
      <w:pPr>
        <w:autoSpaceDE w:val="0"/>
        <w:autoSpaceDN w:val="0"/>
        <w:adjustRightInd w:val="0"/>
        <w:spacing w:line="540" w:lineRule="exact"/>
        <w:ind w:firstLine="662" w:firstLineChars="200"/>
        <w:jc w:val="left"/>
        <w:rPr>
          <w:rFonts w:ascii="黑体" w:hAnsi="黑体" w:eastAsia="黑体"/>
          <w:sz w:val="32"/>
          <w:szCs w:val="32"/>
        </w:rPr>
      </w:pPr>
      <w:r>
        <w:rPr>
          <w:rFonts w:hint="eastAsia" w:ascii="黑体" w:hAnsi="黑体" w:eastAsia="黑体"/>
          <w:sz w:val="32"/>
          <w:szCs w:val="32"/>
        </w:rPr>
        <w:t>（五）、公示</w:t>
      </w:r>
    </w:p>
    <w:p>
      <w:pPr>
        <w:autoSpaceDE w:val="0"/>
        <w:autoSpaceDN w:val="0"/>
        <w:adjustRightInd w:val="0"/>
        <w:spacing w:line="540" w:lineRule="exact"/>
        <w:ind w:firstLine="662" w:firstLineChars="200"/>
        <w:jc w:val="left"/>
        <w:rPr>
          <w:rFonts w:ascii="仿宋_GB2312" w:eastAsia="仿宋_GB2312"/>
          <w:b/>
          <w:color w:val="000000"/>
          <w:sz w:val="32"/>
          <w:szCs w:val="32"/>
        </w:rPr>
      </w:pPr>
      <w:r>
        <w:rPr>
          <w:rFonts w:hint="eastAsia" w:ascii="仿宋_GB2312" w:eastAsia="仿宋_GB2312"/>
          <w:color w:val="000000"/>
          <w:sz w:val="32"/>
          <w:szCs w:val="32"/>
        </w:rPr>
        <w:t>对经考试、体检、考核合格的对象，由县教育局在嘉善县政府信息公开网：</w:t>
      </w:r>
      <w:r>
        <w:rPr>
          <w:rFonts w:ascii="仿宋_GB2312" w:eastAsia="仿宋_GB2312"/>
          <w:b/>
          <w:color w:val="000000"/>
          <w:sz w:val="32"/>
          <w:szCs w:val="32"/>
        </w:rPr>
        <w:t>http://www.jiashan.gov.cn/col/col1229418196/index.html</w:t>
      </w:r>
    </w:p>
    <w:p>
      <w:pPr>
        <w:spacing w:line="540" w:lineRule="exact"/>
        <w:rPr>
          <w:rFonts w:ascii="仿宋_GB2312" w:hAnsi="仿宋" w:eastAsia="仿宋_GB2312"/>
          <w:sz w:val="32"/>
          <w:szCs w:val="32"/>
        </w:rPr>
      </w:pPr>
      <w:r>
        <w:rPr>
          <w:rFonts w:hint="eastAsia" w:ascii="仿宋_GB2312" w:eastAsia="仿宋_GB2312"/>
          <w:color w:val="000000"/>
          <w:sz w:val="32"/>
          <w:szCs w:val="32"/>
        </w:rPr>
        <w:t>进行公示，时间为7个工作日。</w:t>
      </w:r>
    </w:p>
    <w:p>
      <w:pPr>
        <w:widowControl/>
        <w:spacing w:line="600" w:lineRule="exact"/>
        <w:ind w:firstLine="662" w:firstLineChars="200"/>
        <w:rPr>
          <w:rFonts w:ascii="黑体" w:hAnsi="黑体" w:eastAsia="黑体" w:cs="仿宋"/>
          <w:color w:val="000000"/>
          <w:sz w:val="32"/>
          <w:szCs w:val="32"/>
          <w:u w:color="000000"/>
        </w:rPr>
      </w:pPr>
      <w:r>
        <w:rPr>
          <w:rFonts w:hint="eastAsia" w:ascii="黑体" w:hAnsi="黑体" w:eastAsia="黑体" w:cs="仿宋"/>
          <w:color w:val="000000"/>
          <w:sz w:val="32"/>
          <w:szCs w:val="32"/>
          <w:u w:color="000000"/>
        </w:rPr>
        <w:t>六、其他说明</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1.疫情防控。在招聘工作组织实施过程中将按照新冠肺炎疫情防控有关要求，落实防疫措施，必要时将对有关工作安排进行适当调整，请考生理解支持和配合。</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2.本次招聘拟聘用人员须于2021年7月31日前取得毕业证书和学位证；报名时暂无教师资格证要求的，须在2023年12月31日前取得教师资格证，未在规定期限内取得教师资格证的将解除聘用合同。</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3.对录用的C、D类人才按《嘉善县教育高层次人才引育工作实施方案》给予60万元、40万元的奖励。住房政策按《嘉善县“文教卫紧缺专业技术人才住房券”管理和使用暂行办法》执行（附件3）。</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4.本简章的解释权属嘉善县教育局。</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5.政策咨询电话：0573－89102615或89102539。</w:t>
      </w:r>
    </w:p>
    <w:p>
      <w:pPr>
        <w:widowControl/>
        <w:spacing w:line="600" w:lineRule="exact"/>
        <w:ind w:firstLine="662" w:firstLineChars="200"/>
        <w:rPr>
          <w:rFonts w:ascii="仿宋_GB2312" w:hAnsi="仿宋" w:eastAsia="仿宋_GB2312" w:cs="仿宋"/>
          <w:color w:val="000000"/>
          <w:sz w:val="32"/>
          <w:szCs w:val="32"/>
          <w:u w:color="000000"/>
        </w:rPr>
      </w:pPr>
      <w:r>
        <w:rPr>
          <w:rFonts w:hint="eastAsia" w:ascii="仿宋_GB2312" w:hAnsi="仿宋" w:eastAsia="仿宋_GB2312" w:cs="仿宋"/>
          <w:color w:val="000000"/>
          <w:sz w:val="32"/>
          <w:szCs w:val="32"/>
          <w:u w:color="000000"/>
        </w:rPr>
        <w:t>6.监督投诉电话：0573-89102150。</w:t>
      </w:r>
    </w:p>
    <w:p>
      <w:pPr>
        <w:spacing w:line="500" w:lineRule="exact"/>
        <w:ind w:left="2051" w:leftChars="300" w:hanging="1388" w:hangingChars="400"/>
        <w:rPr>
          <w:rFonts w:ascii="仿宋_GB2312" w:hAnsi="微软雅黑" w:eastAsia="仿宋_GB2312" w:cs="宋体"/>
          <w:color w:val="000000"/>
          <w:spacing w:val="8"/>
          <w:kern w:val="0"/>
          <w:sz w:val="32"/>
          <w:szCs w:val="32"/>
        </w:rPr>
      </w:pPr>
      <w:r>
        <w:rPr>
          <w:rFonts w:hint="eastAsia" w:ascii="仿宋_GB2312" w:hAnsi="黑体" w:eastAsia="仿宋_GB2312" w:cs="宋体"/>
          <w:color w:val="000000"/>
          <w:spacing w:val="8"/>
          <w:kern w:val="0"/>
          <w:sz w:val="32"/>
          <w:szCs w:val="32"/>
        </w:rPr>
        <w:t>附件：</w:t>
      </w:r>
      <w:r>
        <w:rPr>
          <w:rFonts w:hint="eastAsia" w:ascii="仿宋_GB2312" w:hAnsi="微软雅黑" w:eastAsia="仿宋_GB2312" w:cs="宋体"/>
          <w:color w:val="000000"/>
          <w:spacing w:val="8"/>
          <w:kern w:val="0"/>
          <w:sz w:val="32"/>
          <w:szCs w:val="32"/>
        </w:rPr>
        <w:t>1.2021年</w:t>
      </w:r>
      <w:r>
        <w:rPr>
          <w:rFonts w:hint="eastAsia" w:ascii="仿宋_GB2312" w:hAnsi="微软雅黑" w:eastAsia="仿宋_GB2312"/>
          <w:color w:val="000000"/>
          <w:spacing w:val="8"/>
          <w:kern w:val="0"/>
          <w:sz w:val="32"/>
          <w:szCs w:val="32"/>
        </w:rPr>
        <w:t>嘉善县教育局招聘高层次人才岗位需求</w:t>
      </w:r>
    </w:p>
    <w:p>
      <w:pPr>
        <w:pStyle w:val="21"/>
        <w:spacing w:line="500" w:lineRule="exact"/>
        <w:ind w:left="2100" w:hanging="2099" w:hangingChars="650"/>
        <w:jc w:val="left"/>
        <w:rPr>
          <w:rFonts w:ascii="仿宋_GB2312" w:hAnsi="仿宋" w:eastAsia="仿宋_GB2312" w:cs="Times New Roman"/>
          <w:spacing w:val="-4"/>
          <w:sz w:val="32"/>
          <w:szCs w:val="32"/>
          <w:lang w:val="en-US" w:bidi="ar-SA"/>
        </w:rPr>
      </w:pPr>
      <w:r>
        <w:rPr>
          <w:rFonts w:hint="eastAsia" w:ascii="仿宋_GB2312" w:hAnsi="仿宋" w:eastAsia="仿宋_GB2312" w:cs="Times New Roman"/>
          <w:spacing w:val="-4"/>
          <w:sz w:val="32"/>
          <w:szCs w:val="32"/>
          <w:lang w:val="en-US" w:bidi="ar-SA"/>
        </w:rPr>
        <w:t xml:space="preserve">           2.</w:t>
      </w:r>
      <w:r>
        <w:rPr>
          <w:rFonts w:ascii="仿宋_GB2312" w:hAnsi="仿宋" w:eastAsia="仿宋_GB2312" w:cs="Times New Roman"/>
          <w:spacing w:val="-4"/>
          <w:sz w:val="32"/>
          <w:szCs w:val="32"/>
          <w:lang w:val="en-US" w:bidi="ar-SA"/>
        </w:rPr>
        <w:t>2021年嘉善县教育</w:t>
      </w:r>
      <w:r>
        <w:rPr>
          <w:rFonts w:hint="eastAsia" w:ascii="仿宋_GB2312" w:hAnsi="仿宋" w:eastAsia="仿宋_GB2312" w:cs="Times New Roman"/>
          <w:spacing w:val="-4"/>
          <w:sz w:val="32"/>
          <w:szCs w:val="32"/>
          <w:lang w:val="en-US" w:bidi="ar-SA"/>
        </w:rPr>
        <w:t>局高层次人才招聘报名信息表</w:t>
      </w:r>
    </w:p>
    <w:p>
      <w:pPr>
        <w:spacing w:line="500" w:lineRule="exact"/>
        <w:ind w:left="2115" w:leftChars="800" w:hanging="347" w:hangingChars="100"/>
        <w:rPr>
          <w:rFonts w:ascii="仿宋_GB2312" w:hAnsi="微软雅黑" w:eastAsia="仿宋_GB2312"/>
          <w:color w:val="000000"/>
          <w:spacing w:val="8"/>
          <w:kern w:val="0"/>
          <w:sz w:val="32"/>
          <w:szCs w:val="32"/>
        </w:rPr>
      </w:pPr>
      <w:r>
        <w:rPr>
          <w:rFonts w:hint="eastAsia" w:ascii="仿宋_GB2312" w:hAnsi="微软雅黑" w:eastAsia="仿宋_GB2312"/>
          <w:color w:val="000000"/>
          <w:spacing w:val="8"/>
          <w:kern w:val="0"/>
          <w:sz w:val="32"/>
          <w:szCs w:val="32"/>
        </w:rPr>
        <w:t>3.嘉善县“文教卫紧缺专业技术人才住房券”管理和使用暂行办法</w:t>
      </w:r>
    </w:p>
    <w:p>
      <w:pPr>
        <w:ind w:firstLine="1703" w:firstLineChars="491"/>
        <w:rPr>
          <w:rFonts w:ascii="仿宋_GB2312" w:hAnsi="微软雅黑" w:eastAsia="仿宋_GB2312"/>
          <w:color w:val="000000"/>
          <w:spacing w:val="8"/>
          <w:kern w:val="0"/>
          <w:sz w:val="32"/>
          <w:szCs w:val="32"/>
        </w:rPr>
      </w:pPr>
      <w:r>
        <w:rPr>
          <w:rFonts w:hint="eastAsia" w:ascii="仿宋_GB2312" w:hAnsi="微软雅黑" w:eastAsia="仿宋_GB2312"/>
          <w:color w:val="000000"/>
          <w:spacing w:val="8"/>
          <w:kern w:val="0"/>
          <w:sz w:val="32"/>
          <w:szCs w:val="32"/>
        </w:rPr>
        <w:t>4.非师范类应聘对象的专业要求</w:t>
      </w:r>
    </w:p>
    <w:p>
      <w:pPr>
        <w:tabs>
          <w:tab w:val="left" w:pos="948"/>
        </w:tabs>
        <w:spacing w:line="580" w:lineRule="exact"/>
        <w:ind w:left="1988" w:leftChars="750" w:hanging="331" w:hangingChars="100"/>
        <w:rPr>
          <w:rFonts w:ascii="仿宋_GB2312" w:hAnsi="仿宋" w:eastAsia="仿宋_GB2312" w:cs="仿宋"/>
          <w:sz w:val="32"/>
          <w:szCs w:val="32"/>
        </w:rPr>
      </w:pPr>
    </w:p>
    <w:p>
      <w:pPr>
        <w:tabs>
          <w:tab w:val="left" w:pos="948"/>
        </w:tabs>
        <w:spacing w:line="580" w:lineRule="exact"/>
        <w:ind w:left="1988" w:leftChars="750" w:hanging="331" w:hangingChars="100"/>
        <w:rPr>
          <w:rFonts w:ascii="仿宋_GB2312" w:hAnsi="仿宋" w:eastAsia="仿宋_GB2312" w:cs="仿宋"/>
          <w:sz w:val="32"/>
          <w:szCs w:val="32"/>
        </w:rPr>
      </w:pPr>
    </w:p>
    <w:p>
      <w:pPr>
        <w:spacing w:line="580" w:lineRule="exact"/>
        <w:rPr>
          <w:rFonts w:ascii="仿宋_GB2312" w:hAnsi="华文中宋" w:eastAsia="仿宋_GB2312"/>
          <w:sz w:val="32"/>
          <w:szCs w:val="32"/>
        </w:rPr>
      </w:pPr>
      <w:r>
        <w:rPr>
          <w:rFonts w:hint="eastAsia" w:ascii="仿宋_GB2312" w:hAnsi="华文中宋" w:eastAsia="仿宋_GB2312"/>
          <w:sz w:val="32"/>
          <w:szCs w:val="32"/>
        </w:rPr>
        <w:t xml:space="preserve">                                 嘉善县教育局</w:t>
      </w:r>
    </w:p>
    <w:p>
      <w:pPr>
        <w:spacing w:line="580" w:lineRule="exact"/>
        <w:rPr>
          <w:rFonts w:ascii="仿宋_GB2312" w:hAnsi="华文中宋" w:eastAsia="仿宋_GB2312"/>
          <w:sz w:val="32"/>
          <w:szCs w:val="32"/>
        </w:rPr>
      </w:pPr>
      <w:r>
        <w:rPr>
          <w:rFonts w:hint="eastAsia" w:ascii="仿宋_GB2312" w:hAnsi="华文中宋" w:eastAsia="仿宋_GB2312"/>
          <w:sz w:val="32"/>
          <w:szCs w:val="32"/>
        </w:rPr>
        <w:t xml:space="preserve">                                2021年2月10日</w:t>
      </w:r>
    </w:p>
    <w:p>
      <w:pPr>
        <w:widowControl/>
        <w:jc w:val="left"/>
        <w:rPr>
          <w:rFonts w:ascii="仿宋_GB2312" w:hAnsi="华文中宋" w:eastAsia="仿宋_GB2312"/>
          <w:sz w:val="32"/>
          <w:szCs w:val="32"/>
        </w:rPr>
      </w:pPr>
      <w:r>
        <w:rPr>
          <w:rFonts w:ascii="仿宋_GB2312" w:hAnsi="华文中宋" w:eastAsia="仿宋_GB2312"/>
          <w:sz w:val="32"/>
          <w:szCs w:val="32"/>
        </w:rPr>
        <w:br w:type="page"/>
      </w:r>
    </w:p>
    <w:p>
      <w:pPr>
        <w:widowControl/>
        <w:jc w:val="left"/>
        <w:rPr>
          <w:rFonts w:ascii="仿宋_GB2312" w:hAnsi="微软雅黑" w:eastAsia="仿宋_GB2312" w:cs="宋体"/>
          <w:color w:val="000000"/>
          <w:spacing w:val="8"/>
          <w:kern w:val="0"/>
          <w:sz w:val="32"/>
          <w:szCs w:val="32"/>
        </w:rPr>
      </w:pPr>
      <w:r>
        <w:rPr>
          <w:rFonts w:hint="eastAsia" w:ascii="仿宋_GB2312" w:hAnsi="微软雅黑" w:eastAsia="仿宋_GB2312" w:cs="宋体"/>
          <w:color w:val="000000"/>
          <w:spacing w:val="8"/>
          <w:kern w:val="0"/>
          <w:sz w:val="32"/>
          <w:szCs w:val="32"/>
        </w:rPr>
        <w:t>附件1：</w:t>
      </w:r>
    </w:p>
    <w:p>
      <w:pPr>
        <w:widowControl/>
        <w:spacing w:line="500" w:lineRule="exact"/>
        <w:jc w:val="center"/>
        <w:rPr>
          <w:rFonts w:ascii="黑体" w:hAnsi="黑体" w:eastAsia="黑体"/>
          <w:color w:val="000000"/>
          <w:spacing w:val="8"/>
          <w:kern w:val="0"/>
          <w:sz w:val="32"/>
          <w:szCs w:val="32"/>
        </w:rPr>
      </w:pPr>
      <w:r>
        <w:rPr>
          <w:rFonts w:hint="eastAsia" w:ascii="黑体" w:hAnsi="黑体" w:eastAsia="黑体" w:cs="宋体"/>
          <w:color w:val="000000"/>
          <w:spacing w:val="8"/>
          <w:kern w:val="0"/>
          <w:sz w:val="32"/>
          <w:szCs w:val="32"/>
        </w:rPr>
        <w:t>2021年</w:t>
      </w:r>
      <w:r>
        <w:rPr>
          <w:rFonts w:hint="eastAsia" w:ascii="黑体" w:hAnsi="黑体" w:eastAsia="黑体"/>
          <w:color w:val="000000"/>
          <w:spacing w:val="8"/>
          <w:kern w:val="0"/>
          <w:sz w:val="32"/>
          <w:szCs w:val="32"/>
        </w:rPr>
        <w:t>嘉善县教育局选聘高层次人才（第二批）岗位需求</w:t>
      </w:r>
    </w:p>
    <w:p>
      <w:pPr>
        <w:widowControl/>
        <w:spacing w:line="500" w:lineRule="exact"/>
        <w:rPr>
          <w:rFonts w:ascii="黑体" w:hAnsi="黑体" w:eastAsia="黑体"/>
          <w:color w:val="000000"/>
          <w:spacing w:val="8"/>
          <w:kern w:val="0"/>
          <w:sz w:val="30"/>
          <w:szCs w:val="30"/>
        </w:rPr>
      </w:pPr>
    </w:p>
    <w:p>
      <w:pPr>
        <w:widowControl/>
        <w:spacing w:line="500" w:lineRule="exact"/>
        <w:rPr>
          <w:rFonts w:ascii="黑体" w:hAnsi="黑体" w:eastAsia="黑体"/>
          <w:color w:val="000000"/>
          <w:spacing w:val="8"/>
          <w:kern w:val="0"/>
          <w:sz w:val="30"/>
          <w:szCs w:val="30"/>
        </w:rPr>
      </w:pPr>
      <w:r>
        <w:rPr>
          <w:rFonts w:hint="eastAsia" w:ascii="黑体" w:hAnsi="黑体" w:eastAsia="黑体"/>
          <w:color w:val="000000"/>
          <w:spacing w:val="8"/>
          <w:kern w:val="0"/>
          <w:sz w:val="30"/>
          <w:szCs w:val="30"/>
        </w:rPr>
        <w:t>1.普通高中:13人</w:t>
      </w:r>
    </w:p>
    <w:tbl>
      <w:tblPr>
        <w:tblStyle w:val="10"/>
        <w:tblW w:w="8533" w:type="dxa"/>
        <w:tblInd w:w="93" w:type="dxa"/>
        <w:tblLayout w:type="autofit"/>
        <w:tblCellMar>
          <w:top w:w="0" w:type="dxa"/>
          <w:left w:w="108" w:type="dxa"/>
          <w:bottom w:w="0" w:type="dxa"/>
          <w:right w:w="108" w:type="dxa"/>
        </w:tblCellMar>
      </w:tblPr>
      <w:tblGrid>
        <w:gridCol w:w="2188"/>
        <w:gridCol w:w="668"/>
        <w:gridCol w:w="668"/>
        <w:gridCol w:w="668"/>
        <w:gridCol w:w="668"/>
        <w:gridCol w:w="631"/>
        <w:gridCol w:w="751"/>
        <w:gridCol w:w="719"/>
        <w:gridCol w:w="737"/>
        <w:gridCol w:w="835"/>
      </w:tblGrid>
      <w:tr>
        <w:tblPrEx>
          <w:tblCellMar>
            <w:top w:w="0" w:type="dxa"/>
            <w:left w:w="108" w:type="dxa"/>
            <w:bottom w:w="0" w:type="dxa"/>
            <w:right w:w="108" w:type="dxa"/>
          </w:tblCellMar>
        </w:tblPrEx>
        <w:trPr>
          <w:trHeight w:val="1196" w:hRule="atLeast"/>
        </w:trPr>
        <w:tc>
          <w:tcPr>
            <w:tcW w:w="2188" w:type="dxa"/>
            <w:tcBorders>
              <w:top w:val="single" w:color="auto" w:sz="4" w:space="0"/>
              <w:left w:val="single" w:color="auto" w:sz="4" w:space="0"/>
              <w:bottom w:val="single" w:color="000000" w:sz="4" w:space="0"/>
              <w:right w:val="single" w:color="000000" w:sz="4" w:space="0"/>
              <w:tl2br w:val="single" w:color="auto" w:sz="4" w:space="0"/>
            </w:tcBorders>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w:t>
            </w:r>
          </w:p>
          <w:p>
            <w:pPr>
              <w:widowControl/>
              <w:rPr>
                <w:rFonts w:ascii="仿宋_GB2312" w:hAnsi="宋体" w:eastAsia="仿宋_GB2312" w:cs="宋体"/>
                <w:color w:val="000000"/>
                <w:kern w:val="0"/>
                <w:sz w:val="24"/>
              </w:rPr>
            </w:pPr>
          </w:p>
          <w:p>
            <w:pPr>
              <w:widowControl/>
              <w:ind w:firstLine="125" w:firstLineChars="5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学校                </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语文</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数学</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英语</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物理</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政治</w:t>
            </w:r>
          </w:p>
        </w:tc>
        <w:tc>
          <w:tcPr>
            <w:tcW w:w="75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历史</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地理</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信息技术</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r>
      <w:tr>
        <w:tblPrEx>
          <w:tblCellMar>
            <w:top w:w="0" w:type="dxa"/>
            <w:left w:w="108" w:type="dxa"/>
            <w:bottom w:w="0" w:type="dxa"/>
            <w:right w:w="108" w:type="dxa"/>
          </w:tblCellMar>
        </w:tblPrEx>
        <w:trPr>
          <w:trHeight w:val="593" w:hRule="atLeast"/>
        </w:trPr>
        <w:tc>
          <w:tcPr>
            <w:tcW w:w="218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嘉善高级中学</w:t>
            </w: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r>
      <w:tr>
        <w:tblPrEx>
          <w:tblCellMar>
            <w:top w:w="0" w:type="dxa"/>
            <w:left w:w="108" w:type="dxa"/>
            <w:bottom w:w="0" w:type="dxa"/>
            <w:right w:w="108" w:type="dxa"/>
          </w:tblCellMar>
        </w:tblPrEx>
        <w:trPr>
          <w:trHeight w:val="593" w:hRule="atLeast"/>
        </w:trPr>
        <w:tc>
          <w:tcPr>
            <w:tcW w:w="218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嘉善第二高级中学</w:t>
            </w: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r>
      <w:tr>
        <w:tblPrEx>
          <w:tblCellMar>
            <w:top w:w="0" w:type="dxa"/>
            <w:left w:w="108" w:type="dxa"/>
            <w:bottom w:w="0" w:type="dxa"/>
            <w:right w:w="108" w:type="dxa"/>
          </w:tblCellMar>
        </w:tblPrEx>
        <w:trPr>
          <w:trHeight w:val="593" w:hRule="atLeast"/>
        </w:trPr>
        <w:tc>
          <w:tcPr>
            <w:tcW w:w="218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浙江省嘉善中学</w:t>
            </w: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6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r>
    </w:tbl>
    <w:p/>
    <w:p/>
    <w:p/>
    <w:p>
      <w:pPr>
        <w:rPr>
          <w:rFonts w:ascii="黑体" w:hAnsi="黑体" w:eastAsia="黑体"/>
          <w:color w:val="000000"/>
          <w:spacing w:val="8"/>
          <w:kern w:val="0"/>
          <w:sz w:val="30"/>
          <w:szCs w:val="30"/>
        </w:rPr>
      </w:pPr>
      <w:r>
        <w:rPr>
          <w:rFonts w:hint="eastAsia" w:ascii="黑体" w:hAnsi="黑体" w:eastAsia="黑体"/>
          <w:color w:val="000000"/>
          <w:spacing w:val="8"/>
          <w:kern w:val="0"/>
          <w:sz w:val="30"/>
          <w:szCs w:val="30"/>
        </w:rPr>
        <w:t>2.中职学校：7人</w:t>
      </w:r>
    </w:p>
    <w:tbl>
      <w:tblPr>
        <w:tblStyle w:val="10"/>
        <w:tblW w:w="6961" w:type="dxa"/>
        <w:tblInd w:w="93" w:type="dxa"/>
        <w:tblLayout w:type="autofit"/>
        <w:tblCellMar>
          <w:top w:w="0" w:type="dxa"/>
          <w:left w:w="108" w:type="dxa"/>
          <w:bottom w:w="0" w:type="dxa"/>
          <w:right w:w="108" w:type="dxa"/>
        </w:tblCellMar>
      </w:tblPr>
      <w:tblGrid>
        <w:gridCol w:w="2283"/>
        <w:gridCol w:w="993"/>
        <w:gridCol w:w="850"/>
        <w:gridCol w:w="904"/>
        <w:gridCol w:w="797"/>
        <w:gridCol w:w="1134"/>
      </w:tblGrid>
      <w:tr>
        <w:tblPrEx>
          <w:tblCellMar>
            <w:top w:w="0" w:type="dxa"/>
            <w:left w:w="108" w:type="dxa"/>
            <w:bottom w:w="0" w:type="dxa"/>
            <w:right w:w="108" w:type="dxa"/>
          </w:tblCellMar>
        </w:tblPrEx>
        <w:trPr>
          <w:trHeight w:val="1180" w:hRule="atLeast"/>
        </w:trPr>
        <w:tc>
          <w:tcPr>
            <w:tcW w:w="2283" w:type="dxa"/>
            <w:tcBorders>
              <w:top w:val="single" w:color="auto" w:sz="4" w:space="0"/>
              <w:left w:val="single" w:color="auto" w:sz="4" w:space="0"/>
              <w:bottom w:val="single" w:color="000000" w:sz="4" w:space="0"/>
              <w:right w:val="single" w:color="000000" w:sz="4" w:space="0"/>
              <w:tl2br w:val="single" w:color="auto" w:sz="4" w:space="0"/>
            </w:tcBorders>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w:t>
            </w:r>
          </w:p>
          <w:p>
            <w:pPr>
              <w:widowControl/>
              <w:rPr>
                <w:rFonts w:ascii="仿宋_GB2312" w:hAnsi="宋体" w:eastAsia="仿宋_GB2312" w:cs="宋体"/>
                <w:color w:val="000000"/>
                <w:kern w:val="0"/>
                <w:sz w:val="24"/>
              </w:rPr>
            </w:pPr>
          </w:p>
          <w:p>
            <w:pPr>
              <w:widowControl/>
              <w:ind w:firstLine="125" w:firstLineChars="5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学校              </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语文</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数学</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英语</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计算机</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r>
      <w:tr>
        <w:tblPrEx>
          <w:tblCellMar>
            <w:top w:w="0" w:type="dxa"/>
            <w:left w:w="108" w:type="dxa"/>
            <w:bottom w:w="0" w:type="dxa"/>
            <w:right w:w="108" w:type="dxa"/>
          </w:tblCellMar>
        </w:tblPrEx>
        <w:trPr>
          <w:trHeight w:val="585" w:hRule="atLeast"/>
        </w:trPr>
        <w:tc>
          <w:tcPr>
            <w:tcW w:w="228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嘉善县中等专业学校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9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97" w:type="dxa"/>
            <w:tcBorders>
              <w:top w:val="nil"/>
              <w:left w:val="nil"/>
              <w:bottom w:val="single" w:color="auto" w:sz="4" w:space="0"/>
              <w:right w:val="single" w:color="auto" w:sz="4" w:space="0"/>
            </w:tcBorders>
            <w:shd w:val="clear" w:color="auto" w:fill="auto"/>
            <w:vAlign w:val="center"/>
          </w:tcPr>
          <w:p>
            <w:pPr>
              <w:ind w:left="89"/>
              <w:jc w:val="center"/>
              <w:rPr>
                <w:rFonts w:ascii="仿宋_GB2312" w:hAnsi="宋体" w:eastAsia="仿宋_GB2312" w:cs="宋体"/>
                <w:color w:val="000000"/>
                <w:kern w:val="0"/>
                <w:sz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585" w:hRule="atLeast"/>
        </w:trPr>
        <w:tc>
          <w:tcPr>
            <w:tcW w:w="228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嘉善信息技术工程学校</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90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r>
    </w:tbl>
    <w:p/>
    <w:p>
      <w:pPr>
        <w:rPr>
          <w:rFonts w:ascii="黑体" w:hAnsi="黑体" w:eastAsia="黑体"/>
          <w:color w:val="000000"/>
          <w:spacing w:val="8"/>
          <w:kern w:val="0"/>
          <w:sz w:val="30"/>
          <w:szCs w:val="30"/>
        </w:rPr>
      </w:pPr>
    </w:p>
    <w:p>
      <w:pPr>
        <w:rPr>
          <w:rFonts w:ascii="黑体" w:hAnsi="黑体" w:eastAsia="黑体"/>
          <w:color w:val="000000"/>
          <w:spacing w:val="8"/>
          <w:kern w:val="0"/>
          <w:sz w:val="30"/>
          <w:szCs w:val="30"/>
        </w:rPr>
      </w:pPr>
    </w:p>
    <w:p>
      <w:pPr>
        <w:rPr>
          <w:rFonts w:ascii="黑体" w:hAnsi="黑体" w:eastAsia="黑体"/>
          <w:color w:val="000000"/>
          <w:spacing w:val="8"/>
          <w:kern w:val="0"/>
          <w:sz w:val="30"/>
          <w:szCs w:val="30"/>
        </w:rPr>
      </w:pPr>
    </w:p>
    <w:p>
      <w:pPr>
        <w:rPr>
          <w:rFonts w:ascii="黑体" w:hAnsi="黑体" w:eastAsia="黑体"/>
          <w:color w:val="000000"/>
          <w:spacing w:val="8"/>
          <w:kern w:val="0"/>
          <w:sz w:val="30"/>
          <w:szCs w:val="30"/>
        </w:rPr>
      </w:pPr>
    </w:p>
    <w:p>
      <w:pPr>
        <w:rPr>
          <w:rFonts w:ascii="黑体" w:hAnsi="黑体" w:eastAsia="黑体"/>
          <w:color w:val="000000"/>
          <w:spacing w:val="8"/>
          <w:kern w:val="0"/>
          <w:sz w:val="30"/>
          <w:szCs w:val="30"/>
        </w:rPr>
      </w:pPr>
    </w:p>
    <w:p>
      <w:pPr>
        <w:rPr>
          <w:rFonts w:ascii="黑体" w:hAnsi="黑体" w:eastAsia="黑体"/>
          <w:color w:val="000000"/>
          <w:spacing w:val="8"/>
          <w:kern w:val="0"/>
          <w:sz w:val="30"/>
          <w:szCs w:val="30"/>
        </w:rPr>
      </w:pPr>
      <w:r>
        <w:rPr>
          <w:rFonts w:hint="eastAsia" w:ascii="黑体" w:hAnsi="黑体" w:eastAsia="黑体"/>
          <w:color w:val="000000"/>
          <w:spacing w:val="8"/>
          <w:kern w:val="0"/>
          <w:sz w:val="30"/>
          <w:szCs w:val="30"/>
        </w:rPr>
        <w:t>3.初中：9人</w:t>
      </w:r>
    </w:p>
    <w:tbl>
      <w:tblPr>
        <w:tblStyle w:val="10"/>
        <w:tblW w:w="7560" w:type="dxa"/>
        <w:tblInd w:w="93" w:type="dxa"/>
        <w:tblLayout w:type="autofit"/>
        <w:tblCellMar>
          <w:top w:w="0" w:type="dxa"/>
          <w:left w:w="108" w:type="dxa"/>
          <w:bottom w:w="0" w:type="dxa"/>
          <w:right w:w="108" w:type="dxa"/>
        </w:tblCellMar>
      </w:tblPr>
      <w:tblGrid>
        <w:gridCol w:w="2425"/>
        <w:gridCol w:w="709"/>
        <w:gridCol w:w="709"/>
        <w:gridCol w:w="708"/>
        <w:gridCol w:w="709"/>
        <w:gridCol w:w="709"/>
        <w:gridCol w:w="729"/>
        <w:gridCol w:w="862"/>
      </w:tblGrid>
      <w:tr>
        <w:tblPrEx>
          <w:tblCellMar>
            <w:top w:w="0" w:type="dxa"/>
            <w:left w:w="108" w:type="dxa"/>
            <w:bottom w:w="0" w:type="dxa"/>
            <w:right w:w="108" w:type="dxa"/>
          </w:tblCellMar>
        </w:tblPrEx>
        <w:trPr>
          <w:trHeight w:val="1180" w:hRule="atLeast"/>
        </w:trPr>
        <w:tc>
          <w:tcPr>
            <w:tcW w:w="2425" w:type="dxa"/>
            <w:tcBorders>
              <w:top w:val="single" w:color="auto" w:sz="4" w:space="0"/>
              <w:left w:val="single" w:color="auto" w:sz="4" w:space="0"/>
              <w:bottom w:val="single" w:color="000000" w:sz="4" w:space="0"/>
              <w:right w:val="single" w:color="000000" w:sz="4" w:space="0"/>
              <w:tl2br w:val="single" w:color="auto" w:sz="4" w:space="0"/>
            </w:tcBorders>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w:t>
            </w:r>
          </w:p>
          <w:p>
            <w:pPr>
              <w:widowControl/>
              <w:rPr>
                <w:rFonts w:ascii="仿宋_GB2312" w:hAnsi="宋体" w:eastAsia="仿宋_GB2312" w:cs="宋体"/>
                <w:color w:val="000000"/>
                <w:kern w:val="0"/>
                <w:sz w:val="24"/>
              </w:rPr>
            </w:pPr>
          </w:p>
          <w:p>
            <w:pPr>
              <w:widowControl/>
              <w:ind w:firstLine="125" w:firstLineChars="5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选聘学校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语文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数学</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英语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科学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社政</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心理健康</w:t>
            </w:r>
          </w:p>
        </w:tc>
        <w:tc>
          <w:tcPr>
            <w:tcW w:w="8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浙江省嘉善县第一中学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浙江省嘉善县第四中学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7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嘉善县泗洲中学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嘉善县实验中学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2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r>
    </w:tbl>
    <w:p/>
    <w:p/>
    <w:p/>
    <w:p>
      <w:pPr>
        <w:rPr>
          <w:rFonts w:ascii="黑体" w:hAnsi="黑体" w:eastAsia="黑体"/>
          <w:color w:val="000000"/>
          <w:spacing w:val="8"/>
          <w:kern w:val="0"/>
          <w:sz w:val="30"/>
          <w:szCs w:val="30"/>
        </w:rPr>
      </w:pPr>
      <w:r>
        <w:rPr>
          <w:rFonts w:hint="eastAsia" w:ascii="黑体" w:hAnsi="黑体" w:eastAsia="黑体"/>
          <w:color w:val="000000"/>
          <w:spacing w:val="8"/>
          <w:kern w:val="0"/>
          <w:sz w:val="30"/>
          <w:szCs w:val="30"/>
        </w:rPr>
        <w:t>4.小学：21人</w:t>
      </w:r>
    </w:p>
    <w:tbl>
      <w:tblPr>
        <w:tblStyle w:val="10"/>
        <w:tblW w:w="6820" w:type="dxa"/>
        <w:tblInd w:w="93" w:type="dxa"/>
        <w:tblLayout w:type="autofit"/>
        <w:tblCellMar>
          <w:top w:w="0" w:type="dxa"/>
          <w:left w:w="108" w:type="dxa"/>
          <w:bottom w:w="0" w:type="dxa"/>
          <w:right w:w="108" w:type="dxa"/>
        </w:tblCellMar>
      </w:tblPr>
      <w:tblGrid>
        <w:gridCol w:w="2425"/>
        <w:gridCol w:w="709"/>
        <w:gridCol w:w="709"/>
        <w:gridCol w:w="708"/>
        <w:gridCol w:w="709"/>
        <w:gridCol w:w="709"/>
        <w:gridCol w:w="851"/>
      </w:tblGrid>
      <w:tr>
        <w:tblPrEx>
          <w:tblCellMar>
            <w:top w:w="0" w:type="dxa"/>
            <w:left w:w="108" w:type="dxa"/>
            <w:bottom w:w="0" w:type="dxa"/>
            <w:right w:w="108" w:type="dxa"/>
          </w:tblCellMar>
        </w:tblPrEx>
        <w:trPr>
          <w:trHeight w:val="1180" w:hRule="atLeast"/>
        </w:trPr>
        <w:tc>
          <w:tcPr>
            <w:tcW w:w="2425"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       </w:t>
            </w:r>
          </w:p>
          <w:p>
            <w:pPr>
              <w:widowControl/>
              <w:ind w:firstLine="225" w:firstLineChars="9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学校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语文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数学</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英语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科学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信息技术</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浙江师范大学附属嘉善实验学校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嘉善县实验小学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嘉善县第二实验小学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嘉善县吴镇教育集团吴镇小学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嘉善县吴镇教育集团泗洲小学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嘉善县吴镇教育集团硕士小学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r>
      <w:tr>
        <w:tblPrEx>
          <w:tblCellMar>
            <w:top w:w="0" w:type="dxa"/>
            <w:left w:w="108" w:type="dxa"/>
            <w:bottom w:w="0" w:type="dxa"/>
            <w:right w:w="108" w:type="dxa"/>
          </w:tblCellMar>
        </w:tblPrEx>
        <w:trPr>
          <w:trHeight w:val="585"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嘉善县杜鹃小学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r>
    </w:tbl>
    <w:p/>
    <w:p>
      <w:pPr>
        <w:pStyle w:val="21"/>
        <w:spacing w:line="500" w:lineRule="exact"/>
        <w:jc w:val="both"/>
        <w:rPr>
          <w:rFonts w:ascii="仿宋_GB2312" w:hAnsi="仿宋" w:eastAsia="仿宋_GB2312" w:cs="Times New Roman"/>
          <w:spacing w:val="-4"/>
          <w:sz w:val="32"/>
          <w:szCs w:val="32"/>
          <w:lang w:val="en-US" w:bidi="ar-SA"/>
        </w:rPr>
      </w:pPr>
    </w:p>
    <w:p>
      <w:pPr>
        <w:pStyle w:val="21"/>
        <w:spacing w:line="500" w:lineRule="exact"/>
        <w:jc w:val="both"/>
        <w:rPr>
          <w:rFonts w:ascii="仿宋_GB2312" w:hAnsi="仿宋" w:eastAsia="仿宋_GB2312" w:cs="Times New Roman"/>
          <w:spacing w:val="-4"/>
          <w:sz w:val="32"/>
          <w:szCs w:val="32"/>
          <w:lang w:val="en-US" w:bidi="ar-SA"/>
        </w:rPr>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318" w:charSpace="2278"/>
        </w:sectPr>
      </w:pPr>
    </w:p>
    <w:p>
      <w:pPr>
        <w:pStyle w:val="21"/>
        <w:spacing w:line="500" w:lineRule="exact"/>
        <w:jc w:val="both"/>
        <w:rPr>
          <w:rFonts w:ascii="仿宋_GB2312" w:hAnsi="仿宋" w:eastAsia="仿宋_GB2312" w:cs="Times New Roman"/>
          <w:spacing w:val="-4"/>
          <w:sz w:val="32"/>
          <w:szCs w:val="32"/>
          <w:lang w:val="en-US" w:bidi="ar-SA"/>
        </w:rPr>
      </w:pPr>
      <w:r>
        <w:rPr>
          <w:rFonts w:hint="eastAsia" w:ascii="仿宋_GB2312" w:hAnsi="仿宋" w:eastAsia="仿宋_GB2312" w:cs="Times New Roman"/>
          <w:spacing w:val="-4"/>
          <w:sz w:val="32"/>
          <w:szCs w:val="32"/>
          <w:lang w:val="en-US" w:bidi="ar-SA"/>
        </w:rPr>
        <w:t>附件2：</w:t>
      </w:r>
    </w:p>
    <w:p>
      <w:pPr>
        <w:pStyle w:val="21"/>
        <w:spacing w:line="500" w:lineRule="exact"/>
        <w:rPr>
          <w:rFonts w:ascii="仿宋_GB2312" w:hAnsi="仿宋" w:eastAsia="仿宋_GB2312" w:cs="Times New Roman"/>
          <w:spacing w:val="-4"/>
          <w:sz w:val="32"/>
          <w:szCs w:val="32"/>
          <w:lang w:val="en-US" w:bidi="ar-SA"/>
        </w:rPr>
      </w:pPr>
      <w:r>
        <w:rPr>
          <w:rFonts w:ascii="仿宋_GB2312" w:hAnsi="仿宋" w:eastAsia="仿宋_GB2312" w:cs="Times New Roman"/>
          <w:spacing w:val="-4"/>
          <w:sz w:val="32"/>
          <w:szCs w:val="32"/>
          <w:lang w:val="en-US" w:bidi="ar-SA"/>
        </w:rPr>
        <w:t>2021年嘉善县教育</w:t>
      </w:r>
      <w:r>
        <w:rPr>
          <w:rFonts w:hint="eastAsia" w:ascii="仿宋_GB2312" w:hAnsi="仿宋" w:eastAsia="仿宋_GB2312" w:cs="Times New Roman"/>
          <w:spacing w:val="-4"/>
          <w:sz w:val="32"/>
          <w:szCs w:val="32"/>
          <w:lang w:val="en-US" w:bidi="ar-SA"/>
        </w:rPr>
        <w:t>系统高层次人才招聘报名信息表</w:t>
      </w:r>
    </w:p>
    <w:tbl>
      <w:tblPr>
        <w:tblStyle w:val="10"/>
        <w:tblpPr w:leftFromText="180" w:rightFromText="180" w:vertAnchor="page" w:horzAnchor="margin" w:tblpY="2806"/>
        <w:tblW w:w="95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78"/>
        <w:gridCol w:w="771"/>
        <w:gridCol w:w="772"/>
        <w:gridCol w:w="771"/>
        <w:gridCol w:w="713"/>
        <w:gridCol w:w="689"/>
        <w:gridCol w:w="6"/>
        <w:gridCol w:w="1249"/>
        <w:gridCol w:w="243"/>
        <w:gridCol w:w="693"/>
        <w:gridCol w:w="21"/>
        <w:gridCol w:w="359"/>
        <w:gridCol w:w="294"/>
        <w:gridCol w:w="67"/>
        <w:gridCol w:w="348"/>
        <w:gridCol w:w="297"/>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Align w:val="center"/>
          </w:tcPr>
          <w:p>
            <w:pPr>
              <w:pStyle w:val="24"/>
              <w:spacing w:before="105"/>
              <w:jc w:val="center"/>
              <w:rPr>
                <w:sz w:val="18"/>
              </w:rPr>
            </w:pPr>
            <w:r>
              <w:rPr>
                <w:sz w:val="18"/>
              </w:rPr>
              <w:t>应聘岗位</w:t>
            </w:r>
          </w:p>
        </w:tc>
        <w:tc>
          <w:tcPr>
            <w:tcW w:w="2314" w:type="dxa"/>
            <w:gridSpan w:val="3"/>
            <w:vAlign w:val="center"/>
          </w:tcPr>
          <w:p>
            <w:pPr>
              <w:pStyle w:val="24"/>
              <w:jc w:val="center"/>
              <w:rPr>
                <w:rFonts w:ascii="Times New Roman"/>
                <w:sz w:val="18"/>
              </w:rPr>
            </w:pPr>
          </w:p>
        </w:tc>
        <w:tc>
          <w:tcPr>
            <w:tcW w:w="1402" w:type="dxa"/>
            <w:gridSpan w:val="2"/>
            <w:vAlign w:val="center"/>
          </w:tcPr>
          <w:p>
            <w:pPr>
              <w:pStyle w:val="24"/>
              <w:jc w:val="center"/>
              <w:rPr>
                <w:rFonts w:ascii="Times New Roman"/>
                <w:sz w:val="18"/>
              </w:rPr>
            </w:pPr>
            <w:r>
              <w:rPr>
                <w:sz w:val="18"/>
              </w:rPr>
              <w:t>岗位</w:t>
            </w:r>
            <w:r>
              <w:rPr>
                <w:rFonts w:hint="eastAsia"/>
                <w:sz w:val="18"/>
              </w:rPr>
              <w:t>代码</w:t>
            </w:r>
          </w:p>
        </w:tc>
        <w:tc>
          <w:tcPr>
            <w:tcW w:w="2191" w:type="dxa"/>
            <w:gridSpan w:val="4"/>
            <w:vAlign w:val="center"/>
          </w:tcPr>
          <w:p>
            <w:pPr>
              <w:pStyle w:val="24"/>
              <w:rPr>
                <w:rFonts w:ascii="Times New Roman"/>
                <w:sz w:val="18"/>
              </w:rPr>
            </w:pPr>
          </w:p>
        </w:tc>
        <w:tc>
          <w:tcPr>
            <w:tcW w:w="2286" w:type="dxa"/>
            <w:gridSpan w:val="7"/>
            <w:vMerge w:val="restart"/>
            <w:vAlign w:val="center"/>
          </w:tcPr>
          <w:p>
            <w:pPr>
              <w:pStyle w:val="24"/>
              <w:jc w:val="center"/>
              <w:rPr>
                <w:rFonts w:ascii="Times New Roman"/>
                <w:sz w:val="18"/>
              </w:rPr>
            </w:pPr>
            <w:r>
              <w:rPr>
                <w:rFonts w:hint="eastAsia" w:ascii="Times New Roman"/>
                <w:sz w:val="18"/>
              </w:rPr>
              <w:t>照   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1378" w:type="dxa"/>
            <w:vAlign w:val="center"/>
          </w:tcPr>
          <w:p>
            <w:pPr>
              <w:pStyle w:val="24"/>
              <w:spacing w:before="120"/>
              <w:ind w:left="320"/>
              <w:rPr>
                <w:sz w:val="18"/>
              </w:rPr>
            </w:pPr>
            <w:r>
              <w:rPr>
                <w:sz w:val="18"/>
              </w:rPr>
              <w:t>身份证号</w:t>
            </w:r>
          </w:p>
        </w:tc>
        <w:tc>
          <w:tcPr>
            <w:tcW w:w="2314" w:type="dxa"/>
            <w:gridSpan w:val="3"/>
            <w:vAlign w:val="center"/>
          </w:tcPr>
          <w:p>
            <w:pPr>
              <w:pStyle w:val="24"/>
              <w:rPr>
                <w:rFonts w:ascii="Times New Roman"/>
                <w:sz w:val="18"/>
              </w:rPr>
            </w:pPr>
          </w:p>
        </w:tc>
        <w:tc>
          <w:tcPr>
            <w:tcW w:w="1408" w:type="dxa"/>
            <w:gridSpan w:val="3"/>
            <w:vAlign w:val="center"/>
          </w:tcPr>
          <w:p>
            <w:pPr>
              <w:pStyle w:val="24"/>
              <w:spacing w:before="120"/>
              <w:ind w:left="497" w:right="478"/>
              <w:rPr>
                <w:sz w:val="18"/>
              </w:rPr>
            </w:pPr>
            <w:r>
              <w:rPr>
                <w:sz w:val="18"/>
              </w:rPr>
              <w:t>姓名</w:t>
            </w:r>
          </w:p>
        </w:tc>
        <w:tc>
          <w:tcPr>
            <w:tcW w:w="2185" w:type="dxa"/>
            <w:gridSpan w:val="3"/>
            <w:vAlign w:val="center"/>
          </w:tcPr>
          <w:p>
            <w:pPr>
              <w:pStyle w:val="24"/>
              <w:rPr>
                <w:rFonts w:ascii="Times New Roman"/>
                <w:sz w:val="18"/>
              </w:rPr>
            </w:pPr>
          </w:p>
        </w:tc>
        <w:tc>
          <w:tcPr>
            <w:tcW w:w="2286" w:type="dxa"/>
            <w:gridSpan w:val="7"/>
            <w:vMerge w:val="continue"/>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1378" w:type="dxa"/>
            <w:vAlign w:val="center"/>
          </w:tcPr>
          <w:p>
            <w:pPr>
              <w:pStyle w:val="24"/>
              <w:ind w:left="320"/>
              <w:rPr>
                <w:sz w:val="18"/>
              </w:rPr>
            </w:pPr>
            <w:r>
              <w:rPr>
                <w:sz w:val="18"/>
              </w:rPr>
              <w:t>政治面貌</w:t>
            </w:r>
          </w:p>
        </w:tc>
        <w:tc>
          <w:tcPr>
            <w:tcW w:w="2314" w:type="dxa"/>
            <w:gridSpan w:val="3"/>
            <w:vAlign w:val="center"/>
          </w:tcPr>
          <w:p>
            <w:pPr>
              <w:pStyle w:val="24"/>
              <w:rPr>
                <w:rFonts w:ascii="Times New Roman"/>
                <w:sz w:val="18"/>
              </w:rPr>
            </w:pPr>
          </w:p>
        </w:tc>
        <w:tc>
          <w:tcPr>
            <w:tcW w:w="1408" w:type="dxa"/>
            <w:gridSpan w:val="3"/>
            <w:vAlign w:val="center"/>
          </w:tcPr>
          <w:p>
            <w:pPr>
              <w:pStyle w:val="24"/>
              <w:jc w:val="center"/>
              <w:rPr>
                <w:sz w:val="18"/>
              </w:rPr>
            </w:pPr>
            <w:r>
              <w:rPr>
                <w:sz w:val="18"/>
              </w:rPr>
              <w:t>民族</w:t>
            </w:r>
          </w:p>
        </w:tc>
        <w:tc>
          <w:tcPr>
            <w:tcW w:w="2185" w:type="dxa"/>
            <w:gridSpan w:val="3"/>
            <w:vAlign w:val="center"/>
          </w:tcPr>
          <w:p>
            <w:pPr>
              <w:pStyle w:val="24"/>
              <w:rPr>
                <w:rFonts w:ascii="Times New Roman"/>
                <w:sz w:val="18"/>
              </w:rPr>
            </w:pPr>
          </w:p>
        </w:tc>
        <w:tc>
          <w:tcPr>
            <w:tcW w:w="2286" w:type="dxa"/>
            <w:gridSpan w:val="7"/>
            <w:vMerge w:val="continue"/>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trPr>
        <w:tc>
          <w:tcPr>
            <w:tcW w:w="1378" w:type="dxa"/>
            <w:vAlign w:val="center"/>
          </w:tcPr>
          <w:p>
            <w:pPr>
              <w:pStyle w:val="24"/>
              <w:spacing w:before="150"/>
              <w:ind w:left="480" w:right="-50"/>
              <w:rPr>
                <w:sz w:val="18"/>
              </w:rPr>
            </w:pPr>
            <w:r>
              <w:rPr>
                <w:sz w:val="18"/>
              </w:rPr>
              <w:t>学历</w:t>
            </w:r>
          </w:p>
        </w:tc>
        <w:tc>
          <w:tcPr>
            <w:tcW w:w="2314" w:type="dxa"/>
            <w:gridSpan w:val="3"/>
            <w:vAlign w:val="center"/>
          </w:tcPr>
          <w:p>
            <w:pPr>
              <w:pStyle w:val="24"/>
              <w:rPr>
                <w:rFonts w:ascii="Times New Roman"/>
                <w:sz w:val="18"/>
              </w:rPr>
            </w:pPr>
          </w:p>
        </w:tc>
        <w:tc>
          <w:tcPr>
            <w:tcW w:w="1408" w:type="dxa"/>
            <w:gridSpan w:val="3"/>
            <w:vAlign w:val="center"/>
          </w:tcPr>
          <w:p>
            <w:pPr>
              <w:pStyle w:val="24"/>
              <w:spacing w:before="150"/>
              <w:ind w:left="497" w:right="478"/>
              <w:rPr>
                <w:sz w:val="18"/>
              </w:rPr>
            </w:pPr>
            <w:r>
              <w:rPr>
                <w:sz w:val="18"/>
              </w:rPr>
              <w:t>学位</w:t>
            </w:r>
          </w:p>
        </w:tc>
        <w:tc>
          <w:tcPr>
            <w:tcW w:w="2185" w:type="dxa"/>
            <w:gridSpan w:val="3"/>
            <w:vAlign w:val="center"/>
          </w:tcPr>
          <w:p>
            <w:pPr>
              <w:pStyle w:val="24"/>
              <w:rPr>
                <w:rFonts w:ascii="Times New Roman"/>
                <w:sz w:val="18"/>
              </w:rPr>
            </w:pPr>
          </w:p>
        </w:tc>
        <w:tc>
          <w:tcPr>
            <w:tcW w:w="2286" w:type="dxa"/>
            <w:gridSpan w:val="7"/>
            <w:vMerge w:val="continue"/>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378" w:type="dxa"/>
            <w:vAlign w:val="center"/>
          </w:tcPr>
          <w:p>
            <w:pPr>
              <w:pStyle w:val="24"/>
              <w:spacing w:before="150"/>
              <w:ind w:left="480" w:right="465"/>
              <w:rPr>
                <w:sz w:val="18"/>
              </w:rPr>
            </w:pPr>
            <w:r>
              <w:rPr>
                <w:sz w:val="18"/>
              </w:rPr>
              <w:t>性别</w:t>
            </w:r>
          </w:p>
        </w:tc>
        <w:tc>
          <w:tcPr>
            <w:tcW w:w="2314" w:type="dxa"/>
            <w:gridSpan w:val="3"/>
            <w:vAlign w:val="center"/>
          </w:tcPr>
          <w:p>
            <w:pPr>
              <w:pStyle w:val="24"/>
              <w:rPr>
                <w:rFonts w:ascii="Times New Roman"/>
                <w:sz w:val="18"/>
              </w:rPr>
            </w:pPr>
          </w:p>
        </w:tc>
        <w:tc>
          <w:tcPr>
            <w:tcW w:w="1408" w:type="dxa"/>
            <w:gridSpan w:val="3"/>
            <w:vAlign w:val="center"/>
          </w:tcPr>
          <w:p>
            <w:pPr>
              <w:pStyle w:val="24"/>
              <w:spacing w:before="150"/>
              <w:ind w:right="478"/>
              <w:jc w:val="center"/>
              <w:rPr>
                <w:sz w:val="18"/>
              </w:rPr>
            </w:pPr>
            <w:r>
              <w:rPr>
                <w:rFonts w:hint="eastAsia"/>
                <w:sz w:val="18"/>
              </w:rPr>
              <w:t xml:space="preserve">   户籍地</w:t>
            </w:r>
          </w:p>
        </w:tc>
        <w:tc>
          <w:tcPr>
            <w:tcW w:w="2185" w:type="dxa"/>
            <w:gridSpan w:val="3"/>
            <w:vAlign w:val="center"/>
          </w:tcPr>
          <w:p>
            <w:pPr>
              <w:pStyle w:val="24"/>
              <w:rPr>
                <w:rFonts w:ascii="Times New Roman"/>
                <w:sz w:val="18"/>
              </w:rPr>
            </w:pPr>
          </w:p>
        </w:tc>
        <w:tc>
          <w:tcPr>
            <w:tcW w:w="1089" w:type="dxa"/>
            <w:gridSpan w:val="5"/>
            <w:vAlign w:val="center"/>
          </w:tcPr>
          <w:p>
            <w:pPr>
              <w:pStyle w:val="24"/>
              <w:jc w:val="center"/>
              <w:rPr>
                <w:sz w:val="18"/>
              </w:rPr>
            </w:pPr>
            <w:r>
              <w:rPr>
                <w:sz w:val="18"/>
              </w:rPr>
              <w:t>生源地</w:t>
            </w:r>
          </w:p>
        </w:tc>
        <w:tc>
          <w:tcPr>
            <w:tcW w:w="1197" w:type="dxa"/>
            <w:gridSpan w:val="2"/>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378" w:type="dxa"/>
            <w:vAlign w:val="center"/>
          </w:tcPr>
          <w:p>
            <w:pPr>
              <w:pStyle w:val="24"/>
              <w:ind w:left="336"/>
              <w:rPr>
                <w:sz w:val="18"/>
              </w:rPr>
            </w:pPr>
            <w:r>
              <w:rPr>
                <w:sz w:val="18"/>
              </w:rPr>
              <w:t>毕业院校</w:t>
            </w:r>
          </w:p>
        </w:tc>
        <w:tc>
          <w:tcPr>
            <w:tcW w:w="2314" w:type="dxa"/>
            <w:gridSpan w:val="3"/>
            <w:vAlign w:val="center"/>
          </w:tcPr>
          <w:p>
            <w:pPr>
              <w:pStyle w:val="24"/>
              <w:rPr>
                <w:rFonts w:ascii="Times New Roman"/>
                <w:sz w:val="18"/>
              </w:rPr>
            </w:pPr>
          </w:p>
        </w:tc>
        <w:tc>
          <w:tcPr>
            <w:tcW w:w="1408" w:type="dxa"/>
            <w:gridSpan w:val="3"/>
            <w:vAlign w:val="center"/>
          </w:tcPr>
          <w:p>
            <w:pPr>
              <w:pStyle w:val="24"/>
              <w:spacing w:before="24" w:line="216" w:lineRule="auto"/>
              <w:ind w:left="270" w:right="66" w:hanging="181"/>
              <w:jc w:val="center"/>
              <w:rPr>
                <w:sz w:val="18"/>
              </w:rPr>
            </w:pPr>
            <w:r>
              <w:rPr>
                <w:sz w:val="18"/>
              </w:rPr>
              <w:t>毕业时间</w:t>
            </w:r>
          </w:p>
        </w:tc>
        <w:tc>
          <w:tcPr>
            <w:tcW w:w="2185" w:type="dxa"/>
            <w:gridSpan w:val="3"/>
            <w:vAlign w:val="center"/>
          </w:tcPr>
          <w:p>
            <w:pPr>
              <w:pStyle w:val="24"/>
              <w:rPr>
                <w:rFonts w:ascii="Times New Roman"/>
                <w:sz w:val="18"/>
              </w:rPr>
            </w:pPr>
          </w:p>
        </w:tc>
        <w:tc>
          <w:tcPr>
            <w:tcW w:w="1089" w:type="dxa"/>
            <w:gridSpan w:val="5"/>
            <w:vAlign w:val="center"/>
          </w:tcPr>
          <w:p>
            <w:pPr>
              <w:pStyle w:val="24"/>
              <w:spacing w:before="24" w:line="216" w:lineRule="auto"/>
              <w:ind w:left="270" w:right="66" w:hanging="181"/>
              <w:jc w:val="center"/>
              <w:rPr>
                <w:sz w:val="18"/>
              </w:rPr>
            </w:pPr>
            <w:r>
              <w:rPr>
                <w:sz w:val="18"/>
              </w:rPr>
              <w:t>所学专业</w:t>
            </w:r>
          </w:p>
        </w:tc>
        <w:tc>
          <w:tcPr>
            <w:tcW w:w="1197" w:type="dxa"/>
            <w:gridSpan w:val="2"/>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1378" w:type="dxa"/>
            <w:vAlign w:val="center"/>
          </w:tcPr>
          <w:p>
            <w:pPr>
              <w:pStyle w:val="24"/>
              <w:ind w:left="320"/>
              <w:rPr>
                <w:sz w:val="18"/>
              </w:rPr>
            </w:pPr>
            <w:r>
              <w:rPr>
                <w:sz w:val="18"/>
              </w:rPr>
              <w:t>联系电话</w:t>
            </w:r>
          </w:p>
        </w:tc>
        <w:tc>
          <w:tcPr>
            <w:tcW w:w="2314" w:type="dxa"/>
            <w:gridSpan w:val="3"/>
            <w:vAlign w:val="center"/>
          </w:tcPr>
          <w:p>
            <w:pPr>
              <w:pStyle w:val="24"/>
              <w:rPr>
                <w:rFonts w:ascii="Times New Roman"/>
                <w:sz w:val="18"/>
              </w:rPr>
            </w:pPr>
          </w:p>
        </w:tc>
        <w:tc>
          <w:tcPr>
            <w:tcW w:w="1408" w:type="dxa"/>
            <w:gridSpan w:val="3"/>
            <w:vAlign w:val="center"/>
          </w:tcPr>
          <w:p>
            <w:pPr>
              <w:pStyle w:val="24"/>
              <w:ind w:left="497" w:right="478"/>
              <w:rPr>
                <w:sz w:val="18"/>
              </w:rPr>
            </w:pPr>
            <w:r>
              <w:rPr>
                <w:sz w:val="18"/>
              </w:rPr>
              <w:t>邮箱</w:t>
            </w:r>
          </w:p>
        </w:tc>
        <w:tc>
          <w:tcPr>
            <w:tcW w:w="4471" w:type="dxa"/>
            <w:gridSpan w:val="10"/>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1378" w:type="dxa"/>
            <w:vAlign w:val="center"/>
          </w:tcPr>
          <w:p>
            <w:pPr>
              <w:pStyle w:val="24"/>
              <w:jc w:val="center"/>
              <w:rPr>
                <w:sz w:val="18"/>
              </w:rPr>
            </w:pPr>
            <w:r>
              <w:rPr>
                <w:rFonts w:hint="eastAsia"/>
                <w:sz w:val="18"/>
              </w:rPr>
              <w:t>是否师范类</w:t>
            </w:r>
          </w:p>
        </w:tc>
        <w:tc>
          <w:tcPr>
            <w:tcW w:w="2314" w:type="dxa"/>
            <w:gridSpan w:val="3"/>
            <w:vAlign w:val="center"/>
          </w:tcPr>
          <w:p>
            <w:pPr>
              <w:pStyle w:val="24"/>
              <w:ind w:left="201"/>
              <w:rPr>
                <w:sz w:val="18"/>
              </w:rPr>
            </w:pPr>
          </w:p>
        </w:tc>
        <w:tc>
          <w:tcPr>
            <w:tcW w:w="1408" w:type="dxa"/>
            <w:gridSpan w:val="3"/>
            <w:vAlign w:val="center"/>
          </w:tcPr>
          <w:p>
            <w:pPr>
              <w:pStyle w:val="24"/>
              <w:jc w:val="center"/>
              <w:rPr>
                <w:rFonts w:ascii="Times New Roman"/>
                <w:sz w:val="18"/>
              </w:rPr>
            </w:pPr>
            <w:r>
              <w:rPr>
                <w:rFonts w:hint="eastAsia" w:ascii="Times New Roman"/>
                <w:sz w:val="18"/>
              </w:rPr>
              <w:t>教师资格种类</w:t>
            </w:r>
          </w:p>
        </w:tc>
        <w:tc>
          <w:tcPr>
            <w:tcW w:w="1249" w:type="dxa"/>
            <w:shd w:val="clear" w:color="auto" w:fill="auto"/>
            <w:vAlign w:val="center"/>
          </w:tcPr>
          <w:p/>
        </w:tc>
        <w:tc>
          <w:tcPr>
            <w:tcW w:w="1610" w:type="dxa"/>
            <w:gridSpan w:val="5"/>
            <w:shd w:val="clear" w:color="auto" w:fill="auto"/>
            <w:vAlign w:val="center"/>
          </w:tcPr>
          <w:p>
            <w:pPr>
              <w:jc w:val="center"/>
            </w:pPr>
            <w:r>
              <w:rPr>
                <w:rFonts w:hint="eastAsia"/>
                <w:sz w:val="18"/>
              </w:rPr>
              <w:t>教师资格取得时间</w:t>
            </w:r>
          </w:p>
        </w:tc>
        <w:tc>
          <w:tcPr>
            <w:tcW w:w="1612" w:type="dxa"/>
            <w:gridSpan w:val="4"/>
            <w:shd w:val="clear" w:color="auto" w:fill="auto"/>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1378" w:type="dxa"/>
            <w:vAlign w:val="center"/>
          </w:tcPr>
          <w:p>
            <w:pPr>
              <w:pStyle w:val="24"/>
              <w:ind w:left="320"/>
              <w:rPr>
                <w:sz w:val="18"/>
              </w:rPr>
            </w:pPr>
            <w:r>
              <w:rPr>
                <w:sz w:val="18"/>
              </w:rPr>
              <w:t>通讯地址</w:t>
            </w:r>
          </w:p>
        </w:tc>
        <w:tc>
          <w:tcPr>
            <w:tcW w:w="8193" w:type="dxa"/>
            <w:gridSpan w:val="16"/>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378" w:type="dxa"/>
            <w:vMerge w:val="restart"/>
            <w:vAlign w:val="center"/>
          </w:tcPr>
          <w:p>
            <w:pPr>
              <w:pStyle w:val="24"/>
              <w:jc w:val="center"/>
              <w:rPr>
                <w:sz w:val="18"/>
              </w:rPr>
            </w:pPr>
            <w:r>
              <w:rPr>
                <w:sz w:val="18"/>
              </w:rPr>
              <w:t>学习经历</w:t>
            </w:r>
          </w:p>
        </w:tc>
        <w:tc>
          <w:tcPr>
            <w:tcW w:w="771" w:type="dxa"/>
            <w:vAlign w:val="center"/>
          </w:tcPr>
          <w:p>
            <w:pPr>
              <w:pStyle w:val="24"/>
              <w:spacing w:before="150"/>
              <w:ind w:left="200"/>
              <w:rPr>
                <w:sz w:val="18"/>
              </w:rPr>
            </w:pPr>
            <w:r>
              <w:rPr>
                <w:sz w:val="18"/>
              </w:rPr>
              <w:t>学历</w:t>
            </w:r>
          </w:p>
        </w:tc>
        <w:tc>
          <w:tcPr>
            <w:tcW w:w="772" w:type="dxa"/>
            <w:vAlign w:val="center"/>
          </w:tcPr>
          <w:p>
            <w:pPr>
              <w:pStyle w:val="24"/>
              <w:spacing w:before="24" w:line="216" w:lineRule="auto"/>
              <w:ind w:left="111" w:right="91"/>
              <w:rPr>
                <w:sz w:val="18"/>
              </w:rPr>
            </w:pPr>
            <w:r>
              <w:rPr>
                <w:sz w:val="18"/>
              </w:rPr>
              <w:t>学习开始时间</w:t>
            </w:r>
          </w:p>
        </w:tc>
        <w:tc>
          <w:tcPr>
            <w:tcW w:w="771" w:type="dxa"/>
            <w:vAlign w:val="center"/>
          </w:tcPr>
          <w:p>
            <w:pPr>
              <w:pStyle w:val="24"/>
              <w:spacing w:before="24" w:line="216" w:lineRule="auto"/>
              <w:ind w:left="111" w:right="91"/>
              <w:rPr>
                <w:sz w:val="18"/>
              </w:rPr>
            </w:pPr>
            <w:r>
              <w:rPr>
                <w:sz w:val="18"/>
              </w:rPr>
              <w:t>学习结束时间</w:t>
            </w:r>
          </w:p>
        </w:tc>
        <w:tc>
          <w:tcPr>
            <w:tcW w:w="1408" w:type="dxa"/>
            <w:gridSpan w:val="3"/>
            <w:vAlign w:val="center"/>
          </w:tcPr>
          <w:p>
            <w:pPr>
              <w:pStyle w:val="24"/>
              <w:spacing w:before="150"/>
              <w:ind w:left="497" w:right="478"/>
              <w:jc w:val="center"/>
              <w:rPr>
                <w:sz w:val="18"/>
              </w:rPr>
            </w:pPr>
            <w:r>
              <w:rPr>
                <w:sz w:val="18"/>
              </w:rPr>
              <w:t>学校</w:t>
            </w:r>
          </w:p>
        </w:tc>
        <w:tc>
          <w:tcPr>
            <w:tcW w:w="1492" w:type="dxa"/>
            <w:gridSpan w:val="2"/>
            <w:vAlign w:val="center"/>
          </w:tcPr>
          <w:p>
            <w:pPr>
              <w:pStyle w:val="24"/>
              <w:spacing w:before="150"/>
              <w:jc w:val="center"/>
              <w:rPr>
                <w:sz w:val="18"/>
              </w:rPr>
            </w:pPr>
            <w:r>
              <w:rPr>
                <w:sz w:val="18"/>
              </w:rPr>
              <w:t>所学专业</w:t>
            </w:r>
          </w:p>
        </w:tc>
        <w:tc>
          <w:tcPr>
            <w:tcW w:w="714" w:type="dxa"/>
            <w:gridSpan w:val="2"/>
            <w:vAlign w:val="center"/>
          </w:tcPr>
          <w:p>
            <w:pPr>
              <w:jc w:val="center"/>
              <w:rPr>
                <w:sz w:val="18"/>
              </w:rPr>
            </w:pPr>
            <w:r>
              <w:rPr>
                <w:sz w:val="18"/>
              </w:rPr>
              <w:t>是否</w:t>
            </w:r>
          </w:p>
          <w:p>
            <w:pPr>
              <w:jc w:val="center"/>
              <w:rPr>
                <w:sz w:val="18"/>
              </w:rPr>
            </w:pPr>
            <w:r>
              <w:rPr>
                <w:sz w:val="18"/>
              </w:rPr>
              <w:t>全日制</w:t>
            </w:r>
          </w:p>
        </w:tc>
        <w:tc>
          <w:tcPr>
            <w:tcW w:w="720" w:type="dxa"/>
            <w:gridSpan w:val="3"/>
            <w:vAlign w:val="center"/>
          </w:tcPr>
          <w:p>
            <w:pPr>
              <w:jc w:val="center"/>
              <w:rPr>
                <w:sz w:val="18"/>
              </w:rPr>
            </w:pPr>
            <w:r>
              <w:rPr>
                <w:sz w:val="18"/>
              </w:rPr>
              <w:t>是否</w:t>
            </w:r>
          </w:p>
          <w:p>
            <w:pPr>
              <w:jc w:val="center"/>
              <w:rPr>
                <w:sz w:val="18"/>
              </w:rPr>
            </w:pPr>
            <w:r>
              <w:rPr>
                <w:sz w:val="18"/>
              </w:rPr>
              <w:t>师范类</w:t>
            </w:r>
          </w:p>
        </w:tc>
        <w:tc>
          <w:tcPr>
            <w:tcW w:w="645" w:type="dxa"/>
            <w:gridSpan w:val="2"/>
            <w:vAlign w:val="center"/>
          </w:tcPr>
          <w:p>
            <w:pPr>
              <w:jc w:val="center"/>
              <w:rPr>
                <w:sz w:val="18"/>
              </w:rPr>
            </w:pPr>
            <w:r>
              <w:rPr>
                <w:rFonts w:hint="eastAsia"/>
                <w:sz w:val="18"/>
              </w:rPr>
              <w:t>本科</w:t>
            </w:r>
          </w:p>
          <w:p>
            <w:pPr>
              <w:jc w:val="center"/>
              <w:rPr>
                <w:sz w:val="18"/>
              </w:rPr>
            </w:pPr>
            <w:r>
              <w:rPr>
                <w:rFonts w:hint="eastAsia"/>
                <w:sz w:val="18"/>
              </w:rPr>
              <w:t>是否</w:t>
            </w:r>
          </w:p>
          <w:p>
            <w:pPr>
              <w:jc w:val="center"/>
              <w:rPr>
                <w:sz w:val="18"/>
              </w:rPr>
            </w:pPr>
            <w:r>
              <w:rPr>
                <w:rFonts w:hint="eastAsia"/>
                <w:sz w:val="18"/>
              </w:rPr>
              <w:t>一本</w:t>
            </w:r>
          </w:p>
        </w:tc>
        <w:tc>
          <w:tcPr>
            <w:tcW w:w="900" w:type="dxa"/>
            <w:vAlign w:val="center"/>
          </w:tcPr>
          <w:p>
            <w:pPr>
              <w:jc w:val="center"/>
              <w:rPr>
                <w:sz w:val="18"/>
              </w:rPr>
            </w:pPr>
            <w:r>
              <w:rPr>
                <w:rFonts w:hint="eastAsia"/>
                <w:sz w:val="18"/>
              </w:rPr>
              <w:t>是否</w:t>
            </w:r>
          </w:p>
          <w:p>
            <w:pPr>
              <w:jc w:val="center"/>
              <w:rPr>
                <w:sz w:val="18"/>
              </w:rPr>
            </w:pPr>
            <w:r>
              <w:rPr>
                <w:rFonts w:hint="eastAsia"/>
                <w:sz w:val="18"/>
              </w:rPr>
              <w:t>双一流</w:t>
            </w:r>
          </w:p>
          <w:p>
            <w:pPr>
              <w:jc w:val="center"/>
              <w:rPr>
                <w:sz w:val="18"/>
              </w:rPr>
            </w:pPr>
            <w:r>
              <w:rPr>
                <w:rFonts w:hint="eastAsia"/>
                <w:sz w:val="18"/>
              </w:rPr>
              <w:t>高校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4"/>
              <w:jc w:val="center"/>
              <w:rPr>
                <w:rFonts w:ascii="Times New Roman"/>
                <w:sz w:val="18"/>
              </w:rPr>
            </w:pPr>
            <w:r>
              <w:rPr>
                <w:rFonts w:hint="eastAsia" w:ascii="Times New Roman"/>
                <w:sz w:val="18"/>
              </w:rPr>
              <w:t>初中</w:t>
            </w:r>
          </w:p>
        </w:tc>
        <w:tc>
          <w:tcPr>
            <w:tcW w:w="772" w:type="dxa"/>
            <w:vAlign w:val="center"/>
          </w:tcPr>
          <w:p>
            <w:pPr>
              <w:pStyle w:val="24"/>
              <w:rPr>
                <w:rFonts w:ascii="Times New Roman"/>
                <w:sz w:val="18"/>
              </w:rPr>
            </w:pPr>
          </w:p>
        </w:tc>
        <w:tc>
          <w:tcPr>
            <w:tcW w:w="771" w:type="dxa"/>
            <w:vAlign w:val="center"/>
          </w:tcPr>
          <w:p>
            <w:pPr>
              <w:pStyle w:val="24"/>
              <w:rPr>
                <w:rFonts w:ascii="Times New Roman"/>
                <w:sz w:val="18"/>
              </w:rPr>
            </w:pPr>
          </w:p>
        </w:tc>
        <w:tc>
          <w:tcPr>
            <w:tcW w:w="1408" w:type="dxa"/>
            <w:gridSpan w:val="3"/>
            <w:vAlign w:val="center"/>
          </w:tcPr>
          <w:p>
            <w:pPr>
              <w:pStyle w:val="24"/>
              <w:rPr>
                <w:rFonts w:ascii="Times New Roman"/>
                <w:sz w:val="18"/>
              </w:rPr>
            </w:pPr>
          </w:p>
        </w:tc>
        <w:tc>
          <w:tcPr>
            <w:tcW w:w="1492" w:type="dxa"/>
            <w:gridSpan w:val="2"/>
            <w:vAlign w:val="center"/>
          </w:tcPr>
          <w:p>
            <w:pPr>
              <w:pStyle w:val="24"/>
              <w:jc w:val="center"/>
              <w:rPr>
                <w:rFonts w:ascii="Times New Roman"/>
                <w:sz w:val="18"/>
              </w:rPr>
            </w:pPr>
            <w:r>
              <w:rPr>
                <w:rFonts w:hint="eastAsia" w:ascii="Times New Roman"/>
                <w:b/>
                <w:sz w:val="30"/>
                <w:szCs w:val="30"/>
              </w:rPr>
              <w:t>/</w:t>
            </w:r>
          </w:p>
        </w:tc>
        <w:tc>
          <w:tcPr>
            <w:tcW w:w="714" w:type="dxa"/>
            <w:gridSpan w:val="2"/>
            <w:vAlign w:val="center"/>
          </w:tcPr>
          <w:p>
            <w:pPr>
              <w:pStyle w:val="24"/>
              <w:rPr>
                <w:rFonts w:ascii="Times New Roman"/>
                <w:sz w:val="18"/>
              </w:rPr>
            </w:pPr>
          </w:p>
        </w:tc>
        <w:tc>
          <w:tcPr>
            <w:tcW w:w="720" w:type="dxa"/>
            <w:gridSpan w:val="3"/>
            <w:vAlign w:val="center"/>
          </w:tcPr>
          <w:p>
            <w:pPr>
              <w:pStyle w:val="24"/>
              <w:jc w:val="center"/>
              <w:rPr>
                <w:rFonts w:ascii="Times New Roman"/>
                <w:b/>
                <w:sz w:val="30"/>
                <w:szCs w:val="30"/>
              </w:rPr>
            </w:pPr>
            <w:r>
              <w:rPr>
                <w:rFonts w:hint="eastAsia" w:ascii="Times New Roman"/>
                <w:b/>
                <w:sz w:val="30"/>
                <w:szCs w:val="30"/>
              </w:rPr>
              <w:t>/</w:t>
            </w:r>
          </w:p>
        </w:tc>
        <w:tc>
          <w:tcPr>
            <w:tcW w:w="645" w:type="dxa"/>
            <w:gridSpan w:val="2"/>
            <w:vAlign w:val="center"/>
          </w:tcPr>
          <w:p>
            <w:pPr>
              <w:pStyle w:val="24"/>
              <w:jc w:val="center"/>
              <w:rPr>
                <w:rFonts w:ascii="Times New Roman"/>
                <w:b/>
                <w:sz w:val="30"/>
                <w:szCs w:val="30"/>
              </w:rPr>
            </w:pPr>
            <w:r>
              <w:rPr>
                <w:rFonts w:hint="eastAsia" w:ascii="Times New Roman"/>
                <w:b/>
                <w:sz w:val="30"/>
                <w:szCs w:val="30"/>
              </w:rPr>
              <w:t>/</w:t>
            </w:r>
          </w:p>
        </w:tc>
        <w:tc>
          <w:tcPr>
            <w:tcW w:w="900" w:type="dxa"/>
            <w:vAlign w:val="center"/>
          </w:tcPr>
          <w:p>
            <w:pPr>
              <w:pStyle w:val="24"/>
              <w:jc w:val="center"/>
              <w:rPr>
                <w:rFonts w:ascii="Times New Roman"/>
                <w:b/>
                <w:sz w:val="30"/>
                <w:szCs w:val="30"/>
              </w:rPr>
            </w:pPr>
            <w:r>
              <w:rPr>
                <w:rFonts w:hint="eastAsia" w:ascii="Times New Roman"/>
                <w:b/>
                <w:sz w:val="30"/>
                <w:szCs w:val="3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4"/>
              <w:jc w:val="center"/>
              <w:rPr>
                <w:rFonts w:ascii="Times New Roman"/>
                <w:sz w:val="18"/>
              </w:rPr>
            </w:pPr>
            <w:r>
              <w:rPr>
                <w:rFonts w:hint="eastAsia" w:ascii="Times New Roman"/>
                <w:sz w:val="18"/>
              </w:rPr>
              <w:t>高中</w:t>
            </w:r>
          </w:p>
        </w:tc>
        <w:tc>
          <w:tcPr>
            <w:tcW w:w="772" w:type="dxa"/>
            <w:vAlign w:val="center"/>
          </w:tcPr>
          <w:p>
            <w:pPr>
              <w:pStyle w:val="24"/>
              <w:rPr>
                <w:rFonts w:ascii="Times New Roman"/>
                <w:sz w:val="18"/>
              </w:rPr>
            </w:pPr>
          </w:p>
        </w:tc>
        <w:tc>
          <w:tcPr>
            <w:tcW w:w="771" w:type="dxa"/>
            <w:vAlign w:val="center"/>
          </w:tcPr>
          <w:p>
            <w:pPr>
              <w:pStyle w:val="24"/>
              <w:rPr>
                <w:rFonts w:ascii="Times New Roman"/>
                <w:sz w:val="18"/>
              </w:rPr>
            </w:pPr>
          </w:p>
        </w:tc>
        <w:tc>
          <w:tcPr>
            <w:tcW w:w="1408" w:type="dxa"/>
            <w:gridSpan w:val="3"/>
            <w:vAlign w:val="center"/>
          </w:tcPr>
          <w:p>
            <w:pPr>
              <w:pStyle w:val="24"/>
              <w:rPr>
                <w:rFonts w:ascii="Times New Roman"/>
                <w:sz w:val="18"/>
              </w:rPr>
            </w:pPr>
          </w:p>
        </w:tc>
        <w:tc>
          <w:tcPr>
            <w:tcW w:w="1492" w:type="dxa"/>
            <w:gridSpan w:val="2"/>
            <w:vAlign w:val="center"/>
          </w:tcPr>
          <w:p>
            <w:pPr>
              <w:pStyle w:val="24"/>
              <w:jc w:val="center"/>
              <w:rPr>
                <w:rFonts w:ascii="Times New Roman"/>
                <w:sz w:val="18"/>
              </w:rPr>
            </w:pPr>
            <w:r>
              <w:rPr>
                <w:rFonts w:hint="eastAsia" w:ascii="Times New Roman"/>
                <w:b/>
                <w:sz w:val="30"/>
                <w:szCs w:val="30"/>
              </w:rPr>
              <w:t>/</w:t>
            </w:r>
          </w:p>
        </w:tc>
        <w:tc>
          <w:tcPr>
            <w:tcW w:w="714" w:type="dxa"/>
            <w:gridSpan w:val="2"/>
            <w:vAlign w:val="center"/>
          </w:tcPr>
          <w:p>
            <w:pPr>
              <w:pStyle w:val="24"/>
              <w:jc w:val="center"/>
              <w:rPr>
                <w:rFonts w:ascii="Times New Roman"/>
                <w:sz w:val="18"/>
              </w:rPr>
            </w:pPr>
          </w:p>
        </w:tc>
        <w:tc>
          <w:tcPr>
            <w:tcW w:w="720" w:type="dxa"/>
            <w:gridSpan w:val="3"/>
            <w:vAlign w:val="center"/>
          </w:tcPr>
          <w:p>
            <w:pPr>
              <w:pStyle w:val="24"/>
              <w:jc w:val="center"/>
              <w:rPr>
                <w:rFonts w:ascii="Times New Roman"/>
                <w:b/>
                <w:sz w:val="30"/>
                <w:szCs w:val="30"/>
              </w:rPr>
            </w:pPr>
            <w:r>
              <w:rPr>
                <w:rFonts w:hint="eastAsia" w:ascii="Times New Roman"/>
                <w:b/>
                <w:sz w:val="30"/>
                <w:szCs w:val="30"/>
              </w:rPr>
              <w:t>/</w:t>
            </w:r>
          </w:p>
        </w:tc>
        <w:tc>
          <w:tcPr>
            <w:tcW w:w="645" w:type="dxa"/>
            <w:gridSpan w:val="2"/>
            <w:vAlign w:val="center"/>
          </w:tcPr>
          <w:p>
            <w:pPr>
              <w:pStyle w:val="24"/>
              <w:jc w:val="center"/>
              <w:rPr>
                <w:rFonts w:ascii="Times New Roman"/>
                <w:b/>
                <w:sz w:val="30"/>
                <w:szCs w:val="30"/>
              </w:rPr>
            </w:pPr>
            <w:r>
              <w:rPr>
                <w:rFonts w:hint="eastAsia" w:ascii="Times New Roman"/>
                <w:b/>
                <w:sz w:val="30"/>
                <w:szCs w:val="30"/>
              </w:rPr>
              <w:t>/</w:t>
            </w:r>
          </w:p>
        </w:tc>
        <w:tc>
          <w:tcPr>
            <w:tcW w:w="900" w:type="dxa"/>
            <w:vAlign w:val="center"/>
          </w:tcPr>
          <w:p>
            <w:pPr>
              <w:pStyle w:val="24"/>
              <w:jc w:val="center"/>
              <w:rPr>
                <w:rFonts w:ascii="Times New Roman"/>
                <w:b/>
                <w:sz w:val="30"/>
                <w:szCs w:val="30"/>
              </w:rPr>
            </w:pPr>
            <w:r>
              <w:rPr>
                <w:rFonts w:hint="eastAsia" w:ascii="Times New Roman"/>
                <w:b/>
                <w:sz w:val="30"/>
                <w:szCs w:val="3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4"/>
              <w:rPr>
                <w:rFonts w:ascii="Times New Roman"/>
                <w:sz w:val="18"/>
              </w:rPr>
            </w:pPr>
          </w:p>
        </w:tc>
        <w:tc>
          <w:tcPr>
            <w:tcW w:w="772" w:type="dxa"/>
            <w:vAlign w:val="center"/>
          </w:tcPr>
          <w:p>
            <w:pPr>
              <w:pStyle w:val="24"/>
              <w:rPr>
                <w:rFonts w:ascii="Times New Roman"/>
                <w:sz w:val="18"/>
              </w:rPr>
            </w:pPr>
          </w:p>
        </w:tc>
        <w:tc>
          <w:tcPr>
            <w:tcW w:w="771" w:type="dxa"/>
            <w:vAlign w:val="center"/>
          </w:tcPr>
          <w:p>
            <w:pPr>
              <w:pStyle w:val="24"/>
              <w:rPr>
                <w:rFonts w:ascii="Times New Roman"/>
                <w:sz w:val="18"/>
              </w:rPr>
            </w:pPr>
          </w:p>
        </w:tc>
        <w:tc>
          <w:tcPr>
            <w:tcW w:w="1408" w:type="dxa"/>
            <w:gridSpan w:val="3"/>
            <w:vAlign w:val="center"/>
          </w:tcPr>
          <w:p>
            <w:pPr>
              <w:pStyle w:val="24"/>
              <w:rPr>
                <w:rFonts w:ascii="Times New Roman"/>
                <w:sz w:val="18"/>
              </w:rPr>
            </w:pPr>
          </w:p>
        </w:tc>
        <w:tc>
          <w:tcPr>
            <w:tcW w:w="1492" w:type="dxa"/>
            <w:gridSpan w:val="2"/>
            <w:vAlign w:val="center"/>
          </w:tcPr>
          <w:p>
            <w:pPr>
              <w:pStyle w:val="24"/>
              <w:rPr>
                <w:rFonts w:ascii="Times New Roman"/>
                <w:sz w:val="18"/>
              </w:rPr>
            </w:pPr>
          </w:p>
        </w:tc>
        <w:tc>
          <w:tcPr>
            <w:tcW w:w="714" w:type="dxa"/>
            <w:gridSpan w:val="2"/>
            <w:vAlign w:val="center"/>
          </w:tcPr>
          <w:p>
            <w:pPr>
              <w:pStyle w:val="24"/>
              <w:rPr>
                <w:rFonts w:ascii="Times New Roman"/>
                <w:sz w:val="18"/>
              </w:rPr>
            </w:pPr>
          </w:p>
        </w:tc>
        <w:tc>
          <w:tcPr>
            <w:tcW w:w="720" w:type="dxa"/>
            <w:gridSpan w:val="3"/>
            <w:vAlign w:val="center"/>
          </w:tcPr>
          <w:p>
            <w:pPr>
              <w:pStyle w:val="24"/>
              <w:rPr>
                <w:rFonts w:ascii="Times New Roman"/>
                <w:sz w:val="18"/>
              </w:rPr>
            </w:pPr>
          </w:p>
        </w:tc>
        <w:tc>
          <w:tcPr>
            <w:tcW w:w="645" w:type="dxa"/>
            <w:gridSpan w:val="2"/>
            <w:vAlign w:val="center"/>
          </w:tcPr>
          <w:p>
            <w:pPr>
              <w:pStyle w:val="24"/>
              <w:rPr>
                <w:rFonts w:ascii="Times New Roman"/>
                <w:sz w:val="18"/>
              </w:rPr>
            </w:pPr>
          </w:p>
        </w:tc>
        <w:tc>
          <w:tcPr>
            <w:tcW w:w="900" w:type="dxa"/>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4"/>
              <w:rPr>
                <w:rFonts w:ascii="Times New Roman"/>
                <w:sz w:val="18"/>
              </w:rPr>
            </w:pPr>
          </w:p>
        </w:tc>
        <w:tc>
          <w:tcPr>
            <w:tcW w:w="772" w:type="dxa"/>
            <w:vAlign w:val="center"/>
          </w:tcPr>
          <w:p>
            <w:pPr>
              <w:pStyle w:val="24"/>
              <w:rPr>
                <w:rFonts w:ascii="Times New Roman"/>
                <w:sz w:val="18"/>
              </w:rPr>
            </w:pPr>
          </w:p>
        </w:tc>
        <w:tc>
          <w:tcPr>
            <w:tcW w:w="771" w:type="dxa"/>
            <w:vAlign w:val="center"/>
          </w:tcPr>
          <w:p>
            <w:pPr>
              <w:pStyle w:val="24"/>
              <w:rPr>
                <w:rFonts w:ascii="Times New Roman"/>
                <w:sz w:val="18"/>
              </w:rPr>
            </w:pPr>
          </w:p>
        </w:tc>
        <w:tc>
          <w:tcPr>
            <w:tcW w:w="1408" w:type="dxa"/>
            <w:gridSpan w:val="3"/>
            <w:vAlign w:val="center"/>
          </w:tcPr>
          <w:p>
            <w:pPr>
              <w:pStyle w:val="24"/>
              <w:rPr>
                <w:rFonts w:ascii="Times New Roman"/>
                <w:sz w:val="18"/>
              </w:rPr>
            </w:pPr>
          </w:p>
        </w:tc>
        <w:tc>
          <w:tcPr>
            <w:tcW w:w="1492" w:type="dxa"/>
            <w:gridSpan w:val="2"/>
            <w:vAlign w:val="center"/>
          </w:tcPr>
          <w:p>
            <w:pPr>
              <w:pStyle w:val="24"/>
              <w:rPr>
                <w:rFonts w:ascii="Times New Roman"/>
                <w:sz w:val="18"/>
              </w:rPr>
            </w:pPr>
          </w:p>
        </w:tc>
        <w:tc>
          <w:tcPr>
            <w:tcW w:w="714" w:type="dxa"/>
            <w:gridSpan w:val="2"/>
            <w:vAlign w:val="center"/>
          </w:tcPr>
          <w:p>
            <w:pPr>
              <w:pStyle w:val="24"/>
              <w:rPr>
                <w:rFonts w:ascii="Times New Roman"/>
                <w:sz w:val="18"/>
              </w:rPr>
            </w:pPr>
          </w:p>
        </w:tc>
        <w:tc>
          <w:tcPr>
            <w:tcW w:w="720" w:type="dxa"/>
            <w:gridSpan w:val="3"/>
            <w:vAlign w:val="center"/>
          </w:tcPr>
          <w:p>
            <w:pPr>
              <w:pStyle w:val="24"/>
              <w:rPr>
                <w:rFonts w:ascii="Times New Roman"/>
                <w:sz w:val="18"/>
              </w:rPr>
            </w:pPr>
          </w:p>
        </w:tc>
        <w:tc>
          <w:tcPr>
            <w:tcW w:w="645" w:type="dxa"/>
            <w:gridSpan w:val="2"/>
            <w:vAlign w:val="center"/>
          </w:tcPr>
          <w:p>
            <w:pPr>
              <w:pStyle w:val="24"/>
              <w:rPr>
                <w:rFonts w:ascii="Times New Roman"/>
                <w:sz w:val="18"/>
              </w:rPr>
            </w:pPr>
          </w:p>
        </w:tc>
        <w:tc>
          <w:tcPr>
            <w:tcW w:w="900" w:type="dxa"/>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1378" w:type="dxa"/>
            <w:vMerge w:val="continue"/>
            <w:vAlign w:val="center"/>
          </w:tcPr>
          <w:p>
            <w:pPr>
              <w:rPr>
                <w:sz w:val="2"/>
                <w:szCs w:val="2"/>
              </w:rPr>
            </w:pPr>
          </w:p>
        </w:tc>
        <w:tc>
          <w:tcPr>
            <w:tcW w:w="771" w:type="dxa"/>
            <w:vAlign w:val="center"/>
          </w:tcPr>
          <w:p>
            <w:pPr>
              <w:pStyle w:val="24"/>
              <w:rPr>
                <w:rFonts w:ascii="Times New Roman"/>
                <w:sz w:val="18"/>
              </w:rPr>
            </w:pPr>
          </w:p>
        </w:tc>
        <w:tc>
          <w:tcPr>
            <w:tcW w:w="772" w:type="dxa"/>
            <w:vAlign w:val="center"/>
          </w:tcPr>
          <w:p>
            <w:pPr>
              <w:pStyle w:val="24"/>
              <w:rPr>
                <w:rFonts w:ascii="Times New Roman"/>
                <w:sz w:val="18"/>
              </w:rPr>
            </w:pPr>
          </w:p>
        </w:tc>
        <w:tc>
          <w:tcPr>
            <w:tcW w:w="771" w:type="dxa"/>
            <w:vAlign w:val="center"/>
          </w:tcPr>
          <w:p>
            <w:pPr>
              <w:pStyle w:val="24"/>
              <w:rPr>
                <w:rFonts w:ascii="Times New Roman"/>
                <w:sz w:val="18"/>
              </w:rPr>
            </w:pPr>
          </w:p>
        </w:tc>
        <w:tc>
          <w:tcPr>
            <w:tcW w:w="1408" w:type="dxa"/>
            <w:gridSpan w:val="3"/>
            <w:vAlign w:val="center"/>
          </w:tcPr>
          <w:p>
            <w:pPr>
              <w:pStyle w:val="24"/>
              <w:rPr>
                <w:rFonts w:ascii="Times New Roman"/>
                <w:sz w:val="18"/>
              </w:rPr>
            </w:pPr>
          </w:p>
        </w:tc>
        <w:tc>
          <w:tcPr>
            <w:tcW w:w="1492" w:type="dxa"/>
            <w:gridSpan w:val="2"/>
            <w:vAlign w:val="center"/>
          </w:tcPr>
          <w:p>
            <w:pPr>
              <w:pStyle w:val="24"/>
              <w:rPr>
                <w:rFonts w:ascii="Times New Roman"/>
                <w:sz w:val="18"/>
              </w:rPr>
            </w:pPr>
          </w:p>
        </w:tc>
        <w:tc>
          <w:tcPr>
            <w:tcW w:w="714" w:type="dxa"/>
            <w:gridSpan w:val="2"/>
            <w:vAlign w:val="center"/>
          </w:tcPr>
          <w:p>
            <w:pPr>
              <w:pStyle w:val="24"/>
              <w:rPr>
                <w:rFonts w:ascii="Times New Roman"/>
                <w:sz w:val="18"/>
              </w:rPr>
            </w:pPr>
          </w:p>
        </w:tc>
        <w:tc>
          <w:tcPr>
            <w:tcW w:w="720" w:type="dxa"/>
            <w:gridSpan w:val="3"/>
            <w:vAlign w:val="center"/>
          </w:tcPr>
          <w:p>
            <w:pPr>
              <w:pStyle w:val="24"/>
              <w:rPr>
                <w:rFonts w:ascii="Times New Roman"/>
                <w:sz w:val="18"/>
              </w:rPr>
            </w:pPr>
          </w:p>
        </w:tc>
        <w:tc>
          <w:tcPr>
            <w:tcW w:w="645" w:type="dxa"/>
            <w:gridSpan w:val="2"/>
            <w:vAlign w:val="center"/>
          </w:tcPr>
          <w:p>
            <w:pPr>
              <w:pStyle w:val="24"/>
              <w:rPr>
                <w:rFonts w:ascii="Times New Roman"/>
                <w:sz w:val="18"/>
              </w:rPr>
            </w:pPr>
          </w:p>
        </w:tc>
        <w:tc>
          <w:tcPr>
            <w:tcW w:w="900" w:type="dxa"/>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1378" w:type="dxa"/>
            <w:vMerge w:val="restart"/>
            <w:vAlign w:val="center"/>
          </w:tcPr>
          <w:p>
            <w:pPr>
              <w:pStyle w:val="24"/>
              <w:ind w:left="320"/>
              <w:rPr>
                <w:sz w:val="18"/>
              </w:rPr>
            </w:pPr>
            <w:r>
              <w:rPr>
                <w:sz w:val="18"/>
              </w:rPr>
              <w:t>工作经历</w:t>
            </w:r>
          </w:p>
        </w:tc>
        <w:tc>
          <w:tcPr>
            <w:tcW w:w="1543" w:type="dxa"/>
            <w:gridSpan w:val="2"/>
            <w:vAlign w:val="center"/>
          </w:tcPr>
          <w:p>
            <w:pPr>
              <w:pStyle w:val="24"/>
              <w:ind w:left="403"/>
              <w:rPr>
                <w:sz w:val="18"/>
              </w:rPr>
            </w:pPr>
            <w:r>
              <w:rPr>
                <w:sz w:val="18"/>
              </w:rPr>
              <w:t>开始时间</w:t>
            </w:r>
          </w:p>
        </w:tc>
        <w:tc>
          <w:tcPr>
            <w:tcW w:w="1484" w:type="dxa"/>
            <w:gridSpan w:val="2"/>
            <w:vAlign w:val="center"/>
          </w:tcPr>
          <w:p>
            <w:pPr>
              <w:pStyle w:val="24"/>
              <w:ind w:left="336"/>
              <w:rPr>
                <w:sz w:val="18"/>
              </w:rPr>
            </w:pPr>
            <w:r>
              <w:rPr>
                <w:sz w:val="18"/>
              </w:rPr>
              <w:t>结束时间</w:t>
            </w:r>
          </w:p>
        </w:tc>
        <w:tc>
          <w:tcPr>
            <w:tcW w:w="3260" w:type="dxa"/>
            <w:gridSpan w:val="7"/>
            <w:vAlign w:val="center"/>
          </w:tcPr>
          <w:p>
            <w:pPr>
              <w:pStyle w:val="24"/>
              <w:jc w:val="center"/>
              <w:rPr>
                <w:sz w:val="18"/>
              </w:rPr>
            </w:pPr>
            <w:r>
              <w:rPr>
                <w:sz w:val="18"/>
              </w:rPr>
              <w:t>工作单位</w:t>
            </w:r>
          </w:p>
        </w:tc>
        <w:tc>
          <w:tcPr>
            <w:tcW w:w="1906" w:type="dxa"/>
            <w:gridSpan w:val="5"/>
            <w:vAlign w:val="center"/>
          </w:tcPr>
          <w:p>
            <w:pPr>
              <w:pStyle w:val="24"/>
              <w:ind w:right="37"/>
              <w:jc w:val="center"/>
              <w:rPr>
                <w:sz w:val="18"/>
              </w:rPr>
            </w:pPr>
            <w:r>
              <w:rPr>
                <w:sz w:val="18"/>
              </w:rPr>
              <w:t>所任职务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1378" w:type="dxa"/>
            <w:vMerge w:val="continue"/>
            <w:vAlign w:val="center"/>
          </w:tcPr>
          <w:p>
            <w:pPr>
              <w:jc w:val="center"/>
              <w:rPr>
                <w:sz w:val="2"/>
                <w:szCs w:val="2"/>
              </w:rPr>
            </w:pPr>
          </w:p>
        </w:tc>
        <w:tc>
          <w:tcPr>
            <w:tcW w:w="1543" w:type="dxa"/>
            <w:gridSpan w:val="2"/>
            <w:vAlign w:val="center"/>
          </w:tcPr>
          <w:p>
            <w:pPr>
              <w:pStyle w:val="24"/>
              <w:rPr>
                <w:rFonts w:ascii="Times New Roman"/>
                <w:sz w:val="18"/>
              </w:rPr>
            </w:pPr>
          </w:p>
        </w:tc>
        <w:tc>
          <w:tcPr>
            <w:tcW w:w="1484" w:type="dxa"/>
            <w:gridSpan w:val="2"/>
            <w:vAlign w:val="center"/>
          </w:tcPr>
          <w:p>
            <w:pPr>
              <w:pStyle w:val="24"/>
              <w:rPr>
                <w:rFonts w:ascii="Times New Roman"/>
                <w:sz w:val="18"/>
              </w:rPr>
            </w:pPr>
          </w:p>
        </w:tc>
        <w:tc>
          <w:tcPr>
            <w:tcW w:w="3260" w:type="dxa"/>
            <w:gridSpan w:val="7"/>
            <w:vAlign w:val="center"/>
          </w:tcPr>
          <w:p>
            <w:pPr>
              <w:pStyle w:val="24"/>
              <w:rPr>
                <w:rFonts w:ascii="Times New Roman"/>
                <w:sz w:val="18"/>
              </w:rPr>
            </w:pPr>
          </w:p>
        </w:tc>
        <w:tc>
          <w:tcPr>
            <w:tcW w:w="1906" w:type="dxa"/>
            <w:gridSpan w:val="5"/>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378" w:type="dxa"/>
            <w:vMerge w:val="continue"/>
            <w:vAlign w:val="center"/>
          </w:tcPr>
          <w:p>
            <w:pPr>
              <w:jc w:val="center"/>
              <w:rPr>
                <w:sz w:val="2"/>
                <w:szCs w:val="2"/>
              </w:rPr>
            </w:pPr>
          </w:p>
        </w:tc>
        <w:tc>
          <w:tcPr>
            <w:tcW w:w="1543" w:type="dxa"/>
            <w:gridSpan w:val="2"/>
            <w:vAlign w:val="center"/>
          </w:tcPr>
          <w:p>
            <w:pPr>
              <w:pStyle w:val="24"/>
              <w:rPr>
                <w:rFonts w:ascii="Times New Roman"/>
                <w:sz w:val="18"/>
              </w:rPr>
            </w:pPr>
          </w:p>
        </w:tc>
        <w:tc>
          <w:tcPr>
            <w:tcW w:w="1484" w:type="dxa"/>
            <w:gridSpan w:val="2"/>
            <w:vAlign w:val="center"/>
          </w:tcPr>
          <w:p>
            <w:pPr>
              <w:pStyle w:val="24"/>
              <w:rPr>
                <w:rFonts w:ascii="Times New Roman"/>
                <w:sz w:val="18"/>
              </w:rPr>
            </w:pPr>
          </w:p>
        </w:tc>
        <w:tc>
          <w:tcPr>
            <w:tcW w:w="3260" w:type="dxa"/>
            <w:gridSpan w:val="7"/>
            <w:vAlign w:val="center"/>
          </w:tcPr>
          <w:p>
            <w:pPr>
              <w:pStyle w:val="24"/>
              <w:rPr>
                <w:rFonts w:ascii="Times New Roman"/>
                <w:sz w:val="18"/>
              </w:rPr>
            </w:pPr>
          </w:p>
        </w:tc>
        <w:tc>
          <w:tcPr>
            <w:tcW w:w="1906" w:type="dxa"/>
            <w:gridSpan w:val="5"/>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trPr>
        <w:tc>
          <w:tcPr>
            <w:tcW w:w="1378" w:type="dxa"/>
            <w:vAlign w:val="center"/>
          </w:tcPr>
          <w:p>
            <w:pPr>
              <w:pStyle w:val="24"/>
              <w:ind w:left="30" w:right="16"/>
              <w:jc w:val="center"/>
              <w:rPr>
                <w:sz w:val="18"/>
              </w:rPr>
            </w:pPr>
            <w:r>
              <w:rPr>
                <w:sz w:val="18"/>
              </w:rPr>
              <w:t>审核人</w:t>
            </w:r>
          </w:p>
        </w:tc>
        <w:tc>
          <w:tcPr>
            <w:tcW w:w="1543" w:type="dxa"/>
            <w:gridSpan w:val="2"/>
            <w:vAlign w:val="center"/>
          </w:tcPr>
          <w:p>
            <w:pPr>
              <w:pStyle w:val="24"/>
              <w:rPr>
                <w:rFonts w:ascii="Times New Roman"/>
                <w:sz w:val="18"/>
              </w:rPr>
            </w:pPr>
          </w:p>
        </w:tc>
        <w:tc>
          <w:tcPr>
            <w:tcW w:w="1484" w:type="dxa"/>
            <w:gridSpan w:val="2"/>
            <w:vAlign w:val="center"/>
          </w:tcPr>
          <w:p>
            <w:pPr>
              <w:pStyle w:val="24"/>
              <w:jc w:val="center"/>
              <w:rPr>
                <w:sz w:val="18"/>
              </w:rPr>
            </w:pPr>
            <w:r>
              <w:rPr>
                <w:sz w:val="18"/>
              </w:rPr>
              <w:t>审核意见</w:t>
            </w:r>
          </w:p>
          <w:p>
            <w:pPr>
              <w:pStyle w:val="24"/>
              <w:jc w:val="center"/>
              <w:rPr>
                <w:sz w:val="18"/>
              </w:rPr>
            </w:pPr>
            <w:r>
              <w:rPr>
                <w:rFonts w:hint="eastAsia"/>
                <w:sz w:val="18"/>
              </w:rPr>
              <w:t>单位盖章</w:t>
            </w:r>
          </w:p>
        </w:tc>
        <w:tc>
          <w:tcPr>
            <w:tcW w:w="5166" w:type="dxa"/>
            <w:gridSpan w:val="12"/>
            <w:vAlign w:val="center"/>
          </w:tcPr>
          <w:p>
            <w:pPr>
              <w:pStyle w:val="24"/>
              <w:rPr>
                <w:rFonts w:ascii="Times New Roman"/>
                <w:sz w:val="18"/>
              </w:rPr>
            </w:pPr>
          </w:p>
        </w:tc>
      </w:tr>
    </w:tbl>
    <w:p>
      <w:pPr>
        <w:widowControl/>
        <w:jc w:val="left"/>
        <w:rPr>
          <w:rFonts w:ascii="黑体" w:hAnsi="黑体" w:eastAsia="黑体" w:cs="方正小标宋简体"/>
          <w:kern w:val="0"/>
          <w:sz w:val="32"/>
          <w:szCs w:val="32"/>
        </w:rPr>
      </w:pPr>
      <w:r>
        <w:rPr>
          <w:rFonts w:ascii="黑体" w:hAnsi="黑体" w:eastAsia="黑体" w:cs="方正小标宋简体"/>
          <w:kern w:val="0"/>
          <w:sz w:val="32"/>
          <w:szCs w:val="32"/>
        </w:rPr>
        <w:br w:type="page"/>
      </w:r>
    </w:p>
    <w:p>
      <w:pPr>
        <w:widowControl/>
        <w:spacing w:line="500" w:lineRule="exact"/>
        <w:jc w:val="left"/>
        <w:rPr>
          <w:rFonts w:ascii="仿宋_GB2312" w:hAnsi="黑体" w:eastAsia="仿宋_GB2312" w:cs="方正小标宋简体"/>
          <w:kern w:val="0"/>
          <w:sz w:val="32"/>
          <w:szCs w:val="32"/>
        </w:rPr>
        <w:sectPr>
          <w:headerReference r:id="rId6" w:type="default"/>
          <w:footerReference r:id="rId7" w:type="default"/>
          <w:footerReference r:id="rId8" w:type="even"/>
          <w:pgSz w:w="11906" w:h="16838"/>
          <w:pgMar w:top="1418" w:right="1440" w:bottom="1418" w:left="1440" w:header="851" w:footer="992" w:gutter="0"/>
          <w:pgNumType w:fmt="numberInDash"/>
          <w:cols w:space="425" w:num="1"/>
          <w:docGrid w:type="linesAndChars" w:linePitch="318" w:charSpace="2278"/>
        </w:sectPr>
      </w:pPr>
    </w:p>
    <w:p>
      <w:pPr>
        <w:widowControl/>
        <w:spacing w:line="500" w:lineRule="exact"/>
        <w:jc w:val="left"/>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附件3：</w:t>
      </w:r>
    </w:p>
    <w:p>
      <w:pPr>
        <w:widowControl/>
        <w:spacing w:line="500" w:lineRule="exact"/>
        <w:jc w:val="center"/>
        <w:rPr>
          <w:rFonts w:ascii="黑体" w:hAnsi="黑体" w:eastAsia="黑体"/>
          <w:sz w:val="32"/>
          <w:szCs w:val="32"/>
        </w:rPr>
      </w:pPr>
      <w:r>
        <w:rPr>
          <w:rFonts w:hint="eastAsia" w:ascii="黑体" w:hAnsi="黑体" w:eastAsia="黑体" w:cs="方正小标宋简体"/>
          <w:kern w:val="0"/>
          <w:sz w:val="32"/>
          <w:szCs w:val="32"/>
        </w:rPr>
        <w:t>嘉善县“文教卫紧缺专业技术人才住房券”</w:t>
      </w:r>
    </w:p>
    <w:p>
      <w:pPr>
        <w:widowControl/>
        <w:spacing w:line="500" w:lineRule="exact"/>
        <w:jc w:val="center"/>
        <w:rPr>
          <w:rFonts w:ascii="黑体" w:hAnsi="黑体" w:eastAsia="黑体"/>
          <w:sz w:val="32"/>
          <w:szCs w:val="32"/>
        </w:rPr>
      </w:pPr>
      <w:r>
        <w:rPr>
          <w:rFonts w:hint="eastAsia" w:ascii="黑体" w:hAnsi="黑体" w:eastAsia="黑体" w:cs="方正小标宋简体"/>
          <w:kern w:val="0"/>
          <w:sz w:val="32"/>
          <w:szCs w:val="32"/>
        </w:rPr>
        <w:t>管理和使用暂行办法</w:t>
      </w:r>
    </w:p>
    <w:p>
      <w:pPr>
        <w:widowControl/>
        <w:spacing w:line="500" w:lineRule="exact"/>
        <w:jc w:val="left"/>
        <w:rPr>
          <w:rFonts w:ascii="仿宋_GB2312" w:eastAsia="仿宋_GB2312"/>
          <w:sz w:val="30"/>
          <w:szCs w:val="30"/>
        </w:rPr>
      </w:pP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第一章 总则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第一条</w:t>
      </w:r>
      <w:r>
        <w:rPr>
          <w:rFonts w:eastAsia="仿宋_GB2312"/>
          <w:spacing w:val="-4"/>
          <w:sz w:val="30"/>
          <w:szCs w:val="30"/>
        </w:rPr>
        <w:t> </w:t>
      </w:r>
      <w:r>
        <w:rPr>
          <w:rFonts w:hint="eastAsia" w:ascii="仿宋_GB2312" w:eastAsia="仿宋_GB2312"/>
          <w:spacing w:val="-4"/>
          <w:sz w:val="30"/>
          <w:szCs w:val="30"/>
        </w:rPr>
        <w:t>为深入实施人才强县战略，壮大优质人才基数，引入我县文教卫系统紧缺的专业技术人才，结合《中共嘉善县委嘉善县人民政府关于打造最优人才生态、促进县域人才创业创新高地建设的若干意见》(善委发〔2017〕12号)文件精神，特制定本办法。</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第二条</w:t>
      </w:r>
      <w:r>
        <w:rPr>
          <w:rFonts w:eastAsia="仿宋_GB2312"/>
          <w:spacing w:val="-4"/>
          <w:sz w:val="30"/>
          <w:szCs w:val="30"/>
        </w:rPr>
        <w:t> </w:t>
      </w:r>
      <w:r>
        <w:rPr>
          <w:rFonts w:hint="eastAsia" w:ascii="仿宋_GB2312" w:eastAsia="仿宋_GB2312"/>
          <w:spacing w:val="-4"/>
          <w:sz w:val="30"/>
          <w:szCs w:val="30"/>
        </w:rPr>
        <w:t>“文教卫紧缺专业技术人才住房券”（以下简称“文教卫人才住房券”）可兑现面值等额的购房款，既适用于购买的商品住房，也适用于购买的人才福利房。购买人才福利房的，还可享受最大面积内8折优惠。</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第三条</w:t>
      </w:r>
      <w:r>
        <w:rPr>
          <w:rFonts w:eastAsia="仿宋_GB2312"/>
          <w:spacing w:val="-4"/>
          <w:sz w:val="30"/>
          <w:szCs w:val="30"/>
        </w:rPr>
        <w:t> </w:t>
      </w:r>
      <w:r>
        <w:rPr>
          <w:rFonts w:hint="eastAsia" w:ascii="仿宋_GB2312" w:eastAsia="仿宋_GB2312"/>
          <w:spacing w:val="-4"/>
          <w:sz w:val="30"/>
          <w:szCs w:val="30"/>
        </w:rPr>
        <w:t>“文教卫人才住房券”的兑现仅限于2019年1月1日以后首次在嘉善县购置的房产。</w:t>
      </w:r>
    </w:p>
    <w:p>
      <w:pPr>
        <w:widowControl/>
        <w:spacing w:line="500" w:lineRule="exact"/>
        <w:jc w:val="center"/>
        <w:rPr>
          <w:rFonts w:ascii="仿宋_GB2312" w:eastAsia="仿宋_GB2312"/>
          <w:spacing w:val="-4"/>
          <w:sz w:val="30"/>
          <w:szCs w:val="30"/>
        </w:rPr>
      </w:pPr>
      <w:r>
        <w:rPr>
          <w:rFonts w:eastAsia="仿宋_GB2312"/>
          <w:spacing w:val="-4"/>
          <w:sz w:val="30"/>
          <w:szCs w:val="30"/>
        </w:rPr>
        <w:t> </w:t>
      </w: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第二章</w:t>
      </w:r>
      <w:r>
        <w:rPr>
          <w:rFonts w:eastAsia="仿宋_GB2312"/>
          <w:spacing w:val="-4"/>
          <w:sz w:val="30"/>
          <w:szCs w:val="30"/>
        </w:rPr>
        <w:t> </w:t>
      </w:r>
      <w:r>
        <w:rPr>
          <w:rFonts w:hint="eastAsia" w:ascii="仿宋_GB2312" w:eastAsia="仿宋_GB2312"/>
          <w:spacing w:val="-4"/>
          <w:sz w:val="30"/>
          <w:szCs w:val="30"/>
        </w:rPr>
        <w:t>发放对象及基本条件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第四条</w:t>
      </w:r>
      <w:r>
        <w:rPr>
          <w:rFonts w:eastAsia="仿宋_GB2312"/>
          <w:spacing w:val="-4"/>
          <w:sz w:val="30"/>
          <w:szCs w:val="30"/>
        </w:rPr>
        <w:t> </w:t>
      </w:r>
      <w:r>
        <w:rPr>
          <w:rFonts w:hint="eastAsia" w:ascii="仿宋_GB2312" w:eastAsia="仿宋_GB2312"/>
          <w:spacing w:val="-4"/>
          <w:sz w:val="30"/>
          <w:szCs w:val="30"/>
        </w:rPr>
        <w:t>发放对象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在我县文化系统群众文化、文物博物、工艺美术、体育教练、图书资料、艺术岗位，县属教育系统教学岗位，卫生系统医、药、护、技等卫生专业技术岗位，全职工作且符合发放对象目录的专业技术人才（定向培养生除外）。</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第五条</w:t>
      </w:r>
      <w:r>
        <w:rPr>
          <w:rFonts w:eastAsia="仿宋_GB2312"/>
          <w:spacing w:val="-4"/>
          <w:sz w:val="30"/>
          <w:szCs w:val="30"/>
        </w:rPr>
        <w:t> </w:t>
      </w:r>
      <w:r>
        <w:rPr>
          <w:rFonts w:hint="eastAsia" w:ascii="仿宋_GB2312" w:eastAsia="仿宋_GB2312"/>
          <w:spacing w:val="-4"/>
          <w:sz w:val="30"/>
          <w:szCs w:val="30"/>
        </w:rPr>
        <w:t>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申请“文教卫人才住房券”的人才应同时具备以下三个基本条件：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（一）2019年1月1日以后新引进或招录的紧缺专业技术人才，文化、教育、卫生系统以正式签订事业单位聘用合同日期为准；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（二）新引进或招录后持续从事相关专业技术工作，且被聘任为相对应级别专业技术职务；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（三）在我县按时连续缴纳社会保险达到相应年份。</w:t>
      </w:r>
    </w:p>
    <w:p>
      <w:pPr>
        <w:widowControl/>
        <w:spacing w:line="500" w:lineRule="exact"/>
        <w:ind w:firstLine="645"/>
        <w:jc w:val="center"/>
        <w:rPr>
          <w:rFonts w:ascii="仿宋_GB2312" w:eastAsia="仿宋_GB2312"/>
          <w:spacing w:val="-4"/>
          <w:sz w:val="30"/>
          <w:szCs w:val="30"/>
        </w:rPr>
      </w:pPr>
      <w:r>
        <w:rPr>
          <w:rFonts w:eastAsia="仿宋_GB2312"/>
          <w:spacing w:val="-4"/>
          <w:sz w:val="30"/>
          <w:szCs w:val="30"/>
        </w:rPr>
        <w:t> </w:t>
      </w: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第三章 申领标准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第六条10类人才的申领标准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（一）国家级高端人才：缴纳社会保险满1年，可申领“文教卫人才住房券”面值100万元。购买人才福利房可享受优惠的最大面积为120平方米。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（二）省级高端人才：缴纳社会保险满1年，可申领“文教卫人才住房券”面值80万元。购买人才福利房可享受优惠的最大面积为120平方米。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（三）市级高端人才：缴纳社会保险满1年，可申领“文教卫人才住房券”面值60万元。购买人才福利房可享受优惠的最大面积为120平方米。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（四）高级人才：缴纳社会保险满1年，可申领“文教卫人才住房券”面值35万元。购买人才福利房可享受优惠的最大面积为120平方米。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（五）正高级职称人才：缴纳社会保险满1年，可申领“文教卫人才住房券”面值35万元。购买人才福利房可享受优惠的最大面积为120平方米。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（六）副高级职称人才：缴纳社会保险满1年，可申领“文教卫人才住房券”面值30万元。购买人才福利房可享受优惠的最大面积为120平方米。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（七）全日制博士研究生：缴纳社会保险满1年，可申领“文教卫人才住房券”面值30万元。购买人才福利房可享受优惠的最大面积为120平方米。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（八）全日制硕士研究生（教育系统另含部分“一流大学建设高校”全日制文理类本科）：</w:t>
      </w:r>
      <w:bookmarkStart w:id="0" w:name="OLE_LINK2"/>
      <w:r>
        <w:rPr>
          <w:rFonts w:hint="eastAsia" w:ascii="仿宋_GB2312" w:eastAsia="仿宋_GB2312"/>
          <w:spacing w:val="-4"/>
          <w:sz w:val="30"/>
          <w:szCs w:val="30"/>
        </w:rPr>
        <w:t>缴纳社会保险满2年，</w:t>
      </w:r>
      <w:bookmarkEnd w:id="0"/>
      <w:r>
        <w:rPr>
          <w:rFonts w:hint="eastAsia" w:ascii="仿宋_GB2312" w:eastAsia="仿宋_GB2312"/>
          <w:spacing w:val="-4"/>
          <w:sz w:val="30"/>
          <w:szCs w:val="30"/>
        </w:rPr>
        <w:t>可申领“文教卫人才住房券”面值25万元。购买人才福利房可享受优惠的最大面积为100平方米。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九）“一流大学建设高校”全日制本科（教育系统为其他“一流大学建设高校”全日制文理类本科）：缴纳社会保险满3年，可申领“文教卫人才住房券”面值15万元。购买人才福利房可享受优惠的最大面积为80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十）医学类专业非“一流大学建设高校”全日制本科（独立学院除外）：缴纳社会保险满3年，且在县内公立医疗卫生机构工作满3年，可选择申领“文教卫人才住房券”面值10万元，或可选择购买8折优惠的人才福利房，优惠最大面积为80平方米。</w:t>
      </w:r>
    </w:p>
    <w:p>
      <w:pPr>
        <w:widowControl/>
        <w:spacing w:line="500" w:lineRule="exact"/>
        <w:ind w:firstLine="645"/>
        <w:jc w:val="center"/>
        <w:rPr>
          <w:rFonts w:ascii="仿宋_GB2312" w:eastAsia="仿宋_GB2312"/>
          <w:spacing w:val="-4"/>
          <w:sz w:val="30"/>
          <w:szCs w:val="30"/>
        </w:rPr>
      </w:pPr>
      <w:r>
        <w:rPr>
          <w:rFonts w:eastAsia="仿宋_GB2312"/>
          <w:spacing w:val="-4"/>
          <w:sz w:val="30"/>
          <w:szCs w:val="30"/>
        </w:rPr>
        <w:t> </w:t>
      </w: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第四章 发放和兑现程序</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第七条</w:t>
      </w:r>
      <w:r>
        <w:rPr>
          <w:rFonts w:eastAsia="仿宋_GB2312"/>
          <w:spacing w:val="-4"/>
          <w:sz w:val="30"/>
          <w:szCs w:val="30"/>
        </w:rPr>
        <w:t> </w:t>
      </w:r>
      <w:r>
        <w:rPr>
          <w:rFonts w:hint="eastAsia" w:ascii="仿宋_GB2312" w:eastAsia="仿宋_GB2312"/>
          <w:spacing w:val="-4"/>
          <w:sz w:val="30"/>
          <w:szCs w:val="30"/>
        </w:rPr>
        <w:t>提交申请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人通过在线平台（嘉善县人才服务智慧管理平台）向主管部门提交申请，经主管部门初步审查后由县人力社保局进行认定，经认定后，主管部门将通过人员名单在本系统内公示5个工作日。公示无异议后，由主管部门汇总申请人所需纸质材料统一提交县人力社保局进行复核，申请人需提供以下材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（一）个人申请表；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（二）申请人身份证件原件及复印件；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学历学位证书原件及复印件，其中，国内学历提供《教育部学历证书电子注册备案表》，国外学历、学位提供教育部留学服务中心认证的《国外学历学位认证书》，港、澳、台地区学历、学位提供教育部留学服务中心认证的《港澳台学历学位认证书》；</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（四）事业单位聘用合同原件及复印件；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（五）教育专业技术人才提供教师资格证书原件及复印件，卫生专业技术人才提供相关资格证书原件及复印件；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（六）高级职称人才提供相应的职称证书原件及复印件；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（七）高级以上人才提供相应层次的证明材料原件及复印件；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（八）夫妻双方都符合申领标准的，提供结婚证原件及复印件。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申领“文教卫人才住房券”涉及的个人住房状况经申请人授权后由县建设局、县自然资源规划局代为查询，参保信息、岗位聘任情况经申请人授权后由县人力社保局代为查询。</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第八条</w:t>
      </w:r>
      <w:r>
        <w:rPr>
          <w:rFonts w:eastAsia="仿宋_GB2312"/>
          <w:spacing w:val="-4"/>
          <w:sz w:val="30"/>
          <w:szCs w:val="30"/>
        </w:rPr>
        <w:t> </w:t>
      </w:r>
      <w:r>
        <w:rPr>
          <w:rFonts w:hint="eastAsia" w:ascii="仿宋_GB2312" w:eastAsia="仿宋_GB2312"/>
          <w:spacing w:val="-4"/>
          <w:sz w:val="30"/>
          <w:szCs w:val="30"/>
        </w:rPr>
        <w:t>审核发放</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县人力社保局逐一核查申请人材料，经确认后，集中向社会公示5个工作日。公示无异议后，按照人才类别选择相应“文教卫人才住房券”进行编号登记。“文教卫人才住房券”由主管部门统一领取后发放至申请人。</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第九条</w:t>
      </w:r>
      <w:r>
        <w:rPr>
          <w:rFonts w:eastAsia="仿宋_GB2312"/>
          <w:spacing w:val="-4"/>
          <w:sz w:val="30"/>
          <w:szCs w:val="30"/>
        </w:rPr>
        <w:t> </w:t>
      </w:r>
      <w:r>
        <w:rPr>
          <w:rFonts w:hint="eastAsia" w:ascii="仿宋_GB2312" w:eastAsia="仿宋_GB2312"/>
          <w:spacing w:val="-4"/>
          <w:sz w:val="30"/>
          <w:szCs w:val="30"/>
        </w:rPr>
        <w:t>兑现方式</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人购房后，申请人统一于每季度首月的1-15日，持购房全款发票、不动产权证(或购房合同)、“文教卫人才住房券”向县人力社保局申请兑现，申请兑现时申请人必须全职在嘉善工作。经核查无误的，分次逐年兑现。</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w:t>
      </w:r>
      <w:bookmarkStart w:id="1" w:name="OLE_LINK1"/>
      <w:r>
        <w:rPr>
          <w:rFonts w:hint="eastAsia" w:ascii="仿宋_GB2312" w:eastAsia="仿宋_GB2312"/>
          <w:spacing w:val="-4"/>
          <w:sz w:val="30"/>
          <w:szCs w:val="30"/>
        </w:rPr>
        <w:t>按照“文教卫人才住房券”面值金额4:3:3的比例，分三年兑现到位，直接汇入申请人个人账户</w:t>
      </w:r>
      <w:bookmarkEnd w:id="1"/>
      <w:r>
        <w:rPr>
          <w:rFonts w:hint="eastAsia" w:ascii="仿宋_GB2312" w:eastAsia="仿宋_GB2312"/>
          <w:spacing w:val="-4"/>
          <w:sz w:val="30"/>
          <w:szCs w:val="30"/>
        </w:rPr>
        <w:t>；</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（二）购买人才福利房的，20%的优惠部分，按照4:3:3比例分三年兑现到位，直接汇入申请人个人账户；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（三）兑现额度不得超过购房发票金额，已领取租房补贴的，在兑现第一笔购房补贴金额时扣除相应额度资金；</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（四）已部分或全部兑现“文教卫人才住房券”的，不再变更申请额度。</w:t>
      </w:r>
    </w:p>
    <w:p>
      <w:pPr>
        <w:widowControl/>
        <w:spacing w:line="500" w:lineRule="exact"/>
        <w:jc w:val="center"/>
        <w:rPr>
          <w:rFonts w:ascii="仿宋_GB2312" w:eastAsia="仿宋_GB2312"/>
          <w:spacing w:val="-4"/>
          <w:sz w:val="30"/>
          <w:szCs w:val="30"/>
        </w:rPr>
      </w:pP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第五章 使用要求</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第十条</w:t>
      </w:r>
      <w:r>
        <w:rPr>
          <w:rFonts w:eastAsia="仿宋_GB2312"/>
          <w:spacing w:val="-4"/>
          <w:sz w:val="30"/>
          <w:szCs w:val="30"/>
        </w:rPr>
        <w:t> </w:t>
      </w:r>
      <w:r>
        <w:rPr>
          <w:rFonts w:hint="eastAsia" w:ascii="仿宋_GB2312" w:eastAsia="仿宋_GB2312"/>
          <w:spacing w:val="-4"/>
          <w:sz w:val="30"/>
          <w:szCs w:val="30"/>
        </w:rPr>
        <w:t>“文教卫人才住房券”实行实名制管理，仅限申请人本人使用，且房屋所有权须为申请人一人或与配偶、子女、父母共同所有。</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第十一条</w:t>
      </w:r>
      <w:r>
        <w:rPr>
          <w:rFonts w:eastAsia="仿宋_GB2312"/>
          <w:spacing w:val="-4"/>
          <w:sz w:val="30"/>
          <w:szCs w:val="30"/>
        </w:rPr>
        <w:t> </w:t>
      </w:r>
      <w:r>
        <w:rPr>
          <w:rFonts w:hint="eastAsia" w:ascii="仿宋_GB2312" w:eastAsia="仿宋_GB2312"/>
          <w:spacing w:val="-4"/>
          <w:sz w:val="30"/>
          <w:szCs w:val="30"/>
        </w:rPr>
        <w:t>申请人调离“第四条 发放对象”所列专业技术岗位的，申领的“文教卫人才住房券”即行失效。</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第十二条</w:t>
      </w:r>
      <w:r>
        <w:rPr>
          <w:rFonts w:eastAsia="仿宋_GB2312"/>
          <w:spacing w:val="-4"/>
          <w:sz w:val="30"/>
          <w:szCs w:val="30"/>
        </w:rPr>
        <w:t> </w:t>
      </w:r>
      <w:r>
        <w:rPr>
          <w:rFonts w:hint="eastAsia" w:ascii="仿宋_GB2312" w:eastAsia="仿宋_GB2312"/>
          <w:spacing w:val="-4"/>
          <w:sz w:val="30"/>
          <w:szCs w:val="30"/>
        </w:rPr>
        <w:t>“文教卫人才住房券”有效期为5年，期满后未购房的，不可重新申请。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第十三条</w:t>
      </w:r>
      <w:r>
        <w:rPr>
          <w:rFonts w:eastAsia="仿宋_GB2312"/>
          <w:spacing w:val="-4"/>
          <w:sz w:val="30"/>
          <w:szCs w:val="30"/>
        </w:rPr>
        <w:t> </w:t>
      </w:r>
      <w:r>
        <w:rPr>
          <w:rFonts w:hint="eastAsia" w:ascii="仿宋_GB2312" w:eastAsia="仿宋_GB2312"/>
          <w:spacing w:val="-4"/>
          <w:sz w:val="30"/>
          <w:szCs w:val="30"/>
        </w:rPr>
        <w:t>主管部门和申请人须对申请材料的真实性负责。在不定期抽查中，如有弄虚作假、骗取“文教卫人才住房券”的，一经查实即取消该申请人的申领资格，追回相应资金，并追究相关当事人责任。</w:t>
      </w:r>
    </w:p>
    <w:p>
      <w:pPr>
        <w:widowControl/>
        <w:spacing w:line="500" w:lineRule="exact"/>
        <w:jc w:val="center"/>
        <w:rPr>
          <w:rFonts w:ascii="仿宋_GB2312" w:eastAsia="仿宋_GB2312"/>
          <w:spacing w:val="-4"/>
          <w:sz w:val="30"/>
          <w:szCs w:val="30"/>
        </w:rPr>
      </w:pPr>
      <w:r>
        <w:rPr>
          <w:rFonts w:eastAsia="仿宋_GB2312"/>
          <w:spacing w:val="-4"/>
          <w:sz w:val="30"/>
          <w:szCs w:val="30"/>
        </w:rPr>
        <w:t> </w:t>
      </w: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第六章 附则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第十四条</w:t>
      </w:r>
      <w:r>
        <w:rPr>
          <w:rFonts w:eastAsia="仿宋_GB2312"/>
          <w:spacing w:val="-4"/>
          <w:sz w:val="30"/>
          <w:szCs w:val="30"/>
        </w:rPr>
        <w:t> </w:t>
      </w:r>
      <w:r>
        <w:rPr>
          <w:rFonts w:hint="eastAsia" w:ascii="仿宋_GB2312" w:eastAsia="仿宋_GB2312"/>
          <w:spacing w:val="-4"/>
          <w:sz w:val="30"/>
          <w:szCs w:val="30"/>
        </w:rPr>
        <w:t>相关说明</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（一）人才福利房：政府适时从持有的人才公寓中安排一定数量的房源作为人才福利房,面向人才出售。房源不足时，采用积分制形式进行人员排序，排序靠前者优先选房(积分相同者抽签决定)；</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（二）“双一流高校”、“一流大学建设高校”：《关于公布世界一流大学和一流学科建设高校及建设学科名单的通知》（教研函〔2017〕2号）中明确的高校；</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（三）在浙江省外取得高级职称的人员须办理调入审定；具有副高及以上专业技术资格的人员，在已实施自主评聘的单位，自引进之日起一年内须经评聘（审）会确认被聘任为相对应级别专业技术职务；</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四）同一申请人更换用人单位前后，分别符合申请“文教卫人才住房券”或“企业人才住房券”条件，原人才住房券已兑付完毕的，不重复申领、不补差；未兑付完毕的，按最新岗位申领对应的人才住房券，仅可兑现剩余比例的补贴金额。</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第十五条</w:t>
      </w:r>
      <w:r>
        <w:rPr>
          <w:rFonts w:eastAsia="仿宋_GB2312"/>
          <w:spacing w:val="-4"/>
          <w:sz w:val="30"/>
          <w:szCs w:val="30"/>
        </w:rPr>
        <w:t> </w:t>
      </w:r>
      <w:r>
        <w:rPr>
          <w:rFonts w:hint="eastAsia" w:ascii="仿宋_GB2312" w:eastAsia="仿宋_GB2312"/>
          <w:spacing w:val="-4"/>
          <w:sz w:val="30"/>
          <w:szCs w:val="30"/>
        </w:rPr>
        <w:t>夫妻双方都符合“文教卫人才住房券”申领标准的，各自为申请主体，购买人才福利房可享受优惠的最大面积就高计算，“文教卫人才住房券”面值可叠加使用。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夫妻双方分别符合“文教卫人才住房券”与“企业人才住房券”申领标准的，各自为申请主体，购买人才福利房可享受优惠的最大面积就高计算，两类“人才住房券”面值可叠加使用。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第十六条</w:t>
      </w:r>
      <w:r>
        <w:rPr>
          <w:rFonts w:eastAsia="仿宋_GB2312"/>
          <w:spacing w:val="-4"/>
          <w:sz w:val="30"/>
          <w:szCs w:val="30"/>
        </w:rPr>
        <w:t> </w:t>
      </w:r>
      <w:r>
        <w:rPr>
          <w:rFonts w:hint="eastAsia" w:ascii="仿宋_GB2312" w:eastAsia="仿宋_GB2312"/>
          <w:spacing w:val="-4"/>
          <w:sz w:val="30"/>
          <w:szCs w:val="30"/>
        </w:rPr>
        <w:t>2019年1月1日以后新引进的文化系统非事业在编人员，在我县缴纳社保，符合文化系统发放对象目录，且在我县工作期间获得党政部门颁发的国家级以上重要文化类奖项和荣誉的，可采取“一事一议”的方式，经县文化旅游体育局上报并提请县委人才办、县人力社保局研定具体资助事宜。</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七条2019年1月1日以后新引进的文教卫事业在编紧缺专业技术人才，属高级以上人才但未被纳入发放对象目录的，可采取“一事一议”的方式，经主管部门上报并提请县委人才办、县人力社保局研定具体资助事宜。</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第十八条2019年1月1日以后整体引进的文教卫人才团队中有3人及以上符合“文教卫人才住房券”申领条件的，可采取“一事一议”的方式，提供更加及时、高效、便捷的服务。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第十九条</w:t>
      </w:r>
      <w:r>
        <w:rPr>
          <w:rFonts w:eastAsia="仿宋_GB2312"/>
          <w:spacing w:val="-4"/>
          <w:sz w:val="30"/>
          <w:szCs w:val="30"/>
        </w:rPr>
        <w:t> </w:t>
      </w:r>
      <w:r>
        <w:rPr>
          <w:rFonts w:hint="eastAsia" w:ascii="仿宋_GB2312" w:eastAsia="仿宋_GB2312"/>
          <w:spacing w:val="-4"/>
          <w:sz w:val="30"/>
          <w:szCs w:val="30"/>
        </w:rPr>
        <w:t>文教卫系统发放对象目录中第1—8类高层次人才新引进或招录时间可放宽至2017年3月28日（《中共嘉善县委嘉善县人民政府关于打造最优人才生态、促进县域人才创业创新高地建设的若干意见》(善委发〔2017〕12号)文件发布日期）。</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第二十条</w:t>
      </w:r>
      <w:r>
        <w:rPr>
          <w:rFonts w:eastAsia="仿宋_GB2312"/>
          <w:spacing w:val="-4"/>
          <w:sz w:val="30"/>
          <w:szCs w:val="30"/>
        </w:rPr>
        <w:t> </w:t>
      </w:r>
      <w:r>
        <w:rPr>
          <w:rFonts w:hint="eastAsia" w:ascii="仿宋_GB2312" w:eastAsia="仿宋_GB2312"/>
          <w:spacing w:val="-4"/>
          <w:sz w:val="30"/>
          <w:szCs w:val="30"/>
        </w:rPr>
        <w:t>申领和兑现“文教卫人才住房券”，以引进时的人才类别为准，“一事一议”的除外。</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第二十一条</w:t>
      </w:r>
      <w:r>
        <w:rPr>
          <w:rFonts w:eastAsia="仿宋_GB2312"/>
          <w:spacing w:val="-4"/>
          <w:sz w:val="30"/>
          <w:szCs w:val="30"/>
        </w:rPr>
        <w:t> </w:t>
      </w:r>
      <w:r>
        <w:rPr>
          <w:rFonts w:hint="eastAsia" w:ascii="仿宋_GB2312" w:eastAsia="仿宋_GB2312"/>
          <w:spacing w:val="-4"/>
          <w:sz w:val="30"/>
          <w:szCs w:val="30"/>
        </w:rPr>
        <w:t>“文教卫人才住房券”制度由县委人才办牵头，县人力社保局、县财政局、县文化旅游体育局、县教育局、县卫生健康局等部门联合组织实施。县人力社保局具体负责“文教卫人才住房券”的发放和管理。</w:t>
      </w:r>
    </w:p>
    <w:p>
      <w:pPr>
        <w:spacing w:line="500" w:lineRule="exact"/>
        <w:ind w:firstLine="584" w:firstLineChars="200"/>
        <w:rPr>
          <w:rFonts w:ascii="仿宋_GB2312" w:eastAsia="仿宋_GB2312"/>
          <w:spacing w:val="-4"/>
          <w:sz w:val="30"/>
          <w:szCs w:val="30"/>
        </w:rPr>
      </w:pPr>
      <w:r>
        <w:rPr>
          <w:rFonts w:hint="eastAsia" w:ascii="仿宋_GB2312" w:eastAsia="仿宋_GB2312"/>
          <w:spacing w:val="-4"/>
          <w:sz w:val="30"/>
          <w:szCs w:val="30"/>
        </w:rPr>
        <w:t>第二十二条</w:t>
      </w:r>
      <w:r>
        <w:rPr>
          <w:rFonts w:eastAsia="仿宋_GB2312"/>
          <w:spacing w:val="-4"/>
          <w:sz w:val="30"/>
          <w:szCs w:val="30"/>
        </w:rPr>
        <w:t> </w:t>
      </w:r>
      <w:r>
        <w:rPr>
          <w:rFonts w:hint="eastAsia" w:ascii="仿宋_GB2312" w:eastAsia="仿宋_GB2312"/>
          <w:spacing w:val="-4"/>
          <w:sz w:val="30"/>
          <w:szCs w:val="30"/>
        </w:rPr>
        <w:t>本办法自2019年8月1日起施行。</w:t>
      </w:r>
    </w:p>
    <w:p>
      <w:pPr>
        <w:spacing w:line="500" w:lineRule="exact"/>
        <w:jc w:val="center"/>
        <w:rPr>
          <w:rFonts w:ascii="仿宋_GB2312" w:eastAsia="仿宋_GB2312"/>
          <w:spacing w:val="-4"/>
          <w:sz w:val="30"/>
          <w:szCs w:val="30"/>
        </w:rPr>
      </w:pPr>
    </w:p>
    <w:p>
      <w:pPr>
        <w:spacing w:line="500" w:lineRule="exact"/>
        <w:jc w:val="center"/>
        <w:rPr>
          <w:rFonts w:ascii="黑体" w:hAnsi="黑体" w:eastAsia="黑体"/>
          <w:color w:val="000000"/>
          <w:sz w:val="32"/>
          <w:szCs w:val="32"/>
        </w:rPr>
      </w:pPr>
    </w:p>
    <w:p>
      <w:pPr>
        <w:spacing w:line="500" w:lineRule="exact"/>
        <w:jc w:val="center"/>
        <w:rPr>
          <w:rFonts w:ascii="黑体" w:hAnsi="黑体" w:eastAsia="黑体"/>
          <w:color w:val="000000"/>
          <w:sz w:val="32"/>
          <w:szCs w:val="32"/>
        </w:rPr>
      </w:pPr>
      <w:r>
        <w:rPr>
          <w:rFonts w:hint="eastAsia" w:ascii="黑体" w:hAnsi="黑体" w:eastAsia="黑体"/>
          <w:color w:val="000000"/>
          <w:sz w:val="32"/>
          <w:szCs w:val="32"/>
        </w:rPr>
        <w:t>教育系统发放对象目录</w:t>
      </w:r>
    </w:p>
    <w:p>
      <w:pPr>
        <w:spacing w:line="500" w:lineRule="exact"/>
        <w:rPr>
          <w:rFonts w:ascii="仿宋_GB2312" w:eastAsia="仿宋_GB2312"/>
          <w:color w:val="000000"/>
          <w:sz w:val="30"/>
          <w:szCs w:val="30"/>
        </w:rPr>
      </w:pPr>
    </w:p>
    <w:p>
      <w:pPr>
        <w:spacing w:line="500" w:lineRule="exact"/>
        <w:rPr>
          <w:rFonts w:ascii="仿宋_GB2312" w:eastAsia="仿宋_GB2312"/>
          <w:color w:val="000000"/>
          <w:sz w:val="30"/>
          <w:szCs w:val="30"/>
        </w:rPr>
      </w:pPr>
      <w:r>
        <w:rPr>
          <w:rFonts w:hint="eastAsia" w:ascii="仿宋_GB2312" w:eastAsia="仿宋_GB2312"/>
          <w:color w:val="000000"/>
          <w:sz w:val="30"/>
          <w:szCs w:val="30"/>
        </w:rPr>
        <w:t>一、国家级高端人才：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1.国家级教学名师；</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2.国家“万人计划”领军人才（教学名师领军人才）、国家“万人计划”青年拔尖人才。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二、省级高端人才：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1.省有突出贡献中青年专家、省“151”人才工程重点资助和第一、第二层次培养人选、省特级教师、省高校教学名师；</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2.省“万人计划”领军人才（教学名师领军人才）、省“万人计划”青年拔尖人才；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3.全国优秀教师获得者、省杰出教师获得者。</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三、市级高端人才：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省“151”人才工程第三层次培养人选，市杰出人才重点资助和第一层次培养人选，市名师名校长、市教育领军人才、市教育名家。</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四、高级人才：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“南湖百杰”优秀人才、市杰出人才第二层次培养人选。</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五、正高级职称人才。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六、副高级职称人才。</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七、全日制博士研究生。</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八、全日制硕士研究生（本科须为“双一流”高校）、部分“一流大学建设高校”全日制文理类本科（北京大学、清华大学、浙江大学、复旦大学、上海交通大学、南京大学、中国科学技术大学、哈尔滨工业大学、西安交通大学、北京师范大学、华东师范大学）。</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九、其他“一流大学建设高校”全日制文理类本科。</w:t>
      </w:r>
    </w:p>
    <w:p>
      <w:pPr>
        <w:spacing w:line="500" w:lineRule="exact"/>
        <w:rPr>
          <w:rFonts w:ascii="仿宋_GB2312" w:eastAsia="仿宋_GB2312"/>
          <w:color w:val="000000"/>
          <w:sz w:val="30"/>
          <w:szCs w:val="30"/>
        </w:rPr>
      </w:pPr>
      <w:r>
        <w:rPr>
          <w:rFonts w:hint="eastAsia" w:ascii="仿宋_GB2312" w:eastAsia="仿宋_GB2312"/>
          <w:color w:val="000000"/>
          <w:sz w:val="30"/>
          <w:szCs w:val="30"/>
        </w:rPr>
        <w:t>以上人才新引进或招录后须持有教师资格证书，持续从事教学工作，且被聘任为相对应级别专业技术职务。</w:t>
      </w:r>
    </w:p>
    <w:p>
      <w:pPr>
        <w:spacing w:line="500" w:lineRule="exact"/>
        <w:rPr>
          <w:rFonts w:eastAsia="方正大标宋简体"/>
          <w:spacing w:val="140"/>
          <w:sz w:val="44"/>
        </w:rPr>
      </w:pPr>
    </w:p>
    <w:p>
      <w:pPr>
        <w:spacing w:line="500" w:lineRule="exact"/>
        <w:rPr>
          <w:rFonts w:eastAsia="方正大标宋简体"/>
          <w:spacing w:val="140"/>
          <w:sz w:val="44"/>
        </w:rPr>
      </w:pPr>
    </w:p>
    <w:p>
      <w:pPr>
        <w:spacing w:line="500" w:lineRule="exact"/>
        <w:rPr>
          <w:rFonts w:eastAsia="方正大标宋简体"/>
          <w:spacing w:val="140"/>
          <w:sz w:val="44"/>
        </w:rPr>
      </w:pPr>
    </w:p>
    <w:p>
      <w:pPr>
        <w:rPr>
          <w:rFonts w:ascii="仿宋_GB2312" w:hAnsi="黑体" w:eastAsia="仿宋_GB2312"/>
          <w:sz w:val="32"/>
          <w:szCs w:val="32"/>
        </w:rPr>
      </w:pPr>
      <w:r>
        <w:rPr>
          <w:rFonts w:hint="eastAsia" w:ascii="仿宋_GB2312" w:hAnsi="黑体" w:eastAsia="仿宋_GB2312"/>
          <w:sz w:val="32"/>
          <w:szCs w:val="32"/>
        </w:rPr>
        <w:t>附件4：</w:t>
      </w:r>
    </w:p>
    <w:p>
      <w:pPr>
        <w:jc w:val="center"/>
      </w:pPr>
      <w:r>
        <w:rPr>
          <w:rFonts w:hint="eastAsia" w:ascii="仿宋_GB2312" w:hAnsi="宋体" w:eastAsia="仿宋_GB2312"/>
          <w:b/>
          <w:sz w:val="32"/>
          <w:szCs w:val="32"/>
        </w:rPr>
        <w:t>非师范类应聘对象的专业要求</w:t>
      </w: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学科</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对应专业及大类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语文</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 w:val="24"/>
              </w:rPr>
            </w:pPr>
            <w:r>
              <w:rPr>
                <w:rFonts w:hint="eastAsia" w:ascii="仿宋_GB2312" w:eastAsia="仿宋_GB2312"/>
                <w:sz w:val="24"/>
              </w:rPr>
              <w:t>中文文秘类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数学</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基础理学类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68" w:type="dxa"/>
            <w:tcBorders>
              <w:top w:val="single" w:color="auto" w:sz="4" w:space="0"/>
              <w:left w:val="single" w:color="auto" w:sz="4" w:space="0"/>
              <w:bottom w:val="single" w:color="auto" w:sz="2"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英语</w:t>
            </w:r>
          </w:p>
        </w:tc>
        <w:tc>
          <w:tcPr>
            <w:tcW w:w="7392" w:type="dxa"/>
            <w:tcBorders>
              <w:top w:val="single" w:color="auto" w:sz="4" w:space="0"/>
              <w:left w:val="single" w:color="auto" w:sz="4" w:space="0"/>
              <w:bottom w:val="single" w:color="auto" w:sz="2" w:space="0"/>
              <w:right w:val="single" w:color="auto" w:sz="4"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外国语言文学类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68"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eastAsia="仿宋_GB2312"/>
                <w:sz w:val="24"/>
              </w:rPr>
            </w:pPr>
            <w:r>
              <w:rPr>
                <w:rFonts w:hint="eastAsia" w:ascii="仿宋_GB2312" w:eastAsia="仿宋_GB2312"/>
                <w:sz w:val="24"/>
              </w:rPr>
              <w:t>物理</w:t>
            </w:r>
          </w:p>
        </w:tc>
        <w:tc>
          <w:tcPr>
            <w:tcW w:w="7392"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基础理学类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tcBorders>
              <w:top w:val="single" w:color="auto" w:sz="2" w:space="0"/>
              <w:left w:val="single" w:color="auto" w:sz="2" w:space="0"/>
              <w:bottom w:val="single" w:color="auto" w:sz="2" w:space="0"/>
              <w:right w:val="single" w:color="auto" w:sz="2" w:space="0"/>
            </w:tcBorders>
            <w:vAlign w:val="center"/>
          </w:tcPr>
          <w:p>
            <w:pPr>
              <w:jc w:val="center"/>
              <w:rPr>
                <w:rFonts w:ascii="仿宋_GB2312" w:eastAsia="仿宋_GB2312"/>
                <w:sz w:val="24"/>
              </w:rPr>
            </w:pPr>
            <w:r>
              <w:rPr>
                <w:rFonts w:hint="eastAsia" w:ascii="仿宋_GB2312" w:eastAsia="仿宋_GB2312"/>
                <w:sz w:val="24"/>
              </w:rPr>
              <w:t>政治</w:t>
            </w:r>
          </w:p>
        </w:tc>
        <w:tc>
          <w:tcPr>
            <w:tcW w:w="7392"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社会政治类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8" w:type="dxa"/>
            <w:tcBorders>
              <w:top w:val="single" w:color="auto" w:sz="2"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历史</w:t>
            </w:r>
          </w:p>
        </w:tc>
        <w:tc>
          <w:tcPr>
            <w:tcW w:w="7392" w:type="dxa"/>
            <w:tcBorders>
              <w:top w:val="single" w:color="auto" w:sz="2"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社会政治类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8" w:type="dxa"/>
            <w:tcBorders>
              <w:top w:val="single" w:color="auto" w:sz="2"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地理</w:t>
            </w:r>
          </w:p>
        </w:tc>
        <w:tc>
          <w:tcPr>
            <w:tcW w:w="7392" w:type="dxa"/>
            <w:tcBorders>
              <w:top w:val="single" w:color="auto" w:sz="2"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地质矿产类、基础理学类相关专业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科学</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化学工程类、医药化工类、生物工程类、农业类、林业类、基础理学类相关专业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社会与政治</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rPr>
            </w:pPr>
            <w:r>
              <w:rPr>
                <w:rFonts w:hint="eastAsia" w:ascii="仿宋_GB2312" w:eastAsia="仿宋_GB2312"/>
                <w:color w:val="000000"/>
                <w:sz w:val="24"/>
              </w:rPr>
              <w:t>社会政治类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信息技术</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000000"/>
                <w:sz w:val="24"/>
              </w:rPr>
            </w:pPr>
            <w:r>
              <w:rPr>
                <w:rFonts w:hint="eastAsia" w:ascii="仿宋_GB2312" w:hAnsi="宋体" w:eastAsia="仿宋_GB2312"/>
                <w:color w:val="000000"/>
                <w:sz w:val="24"/>
              </w:rPr>
              <w:t>计算机（大类）类、计算机（软件）类、计算机（网络管理）类、教育技术学专业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心理健康</w:t>
            </w:r>
          </w:p>
        </w:tc>
        <w:tc>
          <w:tcPr>
            <w:tcW w:w="73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000000"/>
                <w:sz w:val="24"/>
              </w:rPr>
            </w:pPr>
            <w:r>
              <w:rPr>
                <w:rFonts w:hint="eastAsia" w:ascii="仿宋_GB2312" w:eastAsia="仿宋_GB2312"/>
                <w:sz w:val="24"/>
              </w:rPr>
              <w:t>教育学类下二级科目：</w:t>
            </w:r>
            <w:r>
              <w:rPr>
                <w:rFonts w:hint="eastAsia" w:ascii="仿宋_GB2312" w:hAnsi="宋体" w:eastAsia="仿宋_GB2312"/>
                <w:color w:val="000000"/>
                <w:sz w:val="24"/>
              </w:rPr>
              <w:t>心理健康教育专业</w:t>
            </w:r>
          </w:p>
        </w:tc>
      </w:tr>
    </w:tbl>
    <w:p>
      <w:pPr>
        <w:rPr>
          <w:rFonts w:ascii="黑体" w:hAnsi="黑体" w:eastAsia="黑体"/>
          <w:sz w:val="32"/>
          <w:szCs w:val="32"/>
        </w:rPr>
      </w:pPr>
    </w:p>
    <w:p>
      <w:pPr>
        <w:widowControl/>
        <w:spacing w:line="600" w:lineRule="exact"/>
        <w:rPr>
          <w:rFonts w:eastAsia="方正大标宋简体"/>
          <w:spacing w:val="140"/>
          <w:sz w:val="44"/>
        </w:rPr>
      </w:pPr>
    </w:p>
    <w:p>
      <w:pPr>
        <w:spacing w:line="200" w:lineRule="exact"/>
        <w:rPr>
          <w:rFonts w:ascii="仿宋_GB2312" w:hAnsi="华文中宋" w:eastAsia="仿宋_GB2312"/>
          <w:sz w:val="32"/>
          <w:szCs w:val="32"/>
        </w:rPr>
      </w:pPr>
    </w:p>
    <w:p>
      <w:pPr>
        <w:spacing w:line="200" w:lineRule="exact"/>
        <w:rPr>
          <w:rFonts w:ascii="仿宋_GB2312" w:hAnsi="华文中宋" w:eastAsia="仿宋_GB2312"/>
          <w:sz w:val="32"/>
          <w:szCs w:val="32"/>
        </w:rPr>
      </w:pPr>
    </w:p>
    <w:p>
      <w:pPr>
        <w:spacing w:line="200" w:lineRule="exact"/>
        <w:rPr>
          <w:rFonts w:ascii="仿宋_GB2312" w:hAnsi="华文中宋" w:eastAsia="仿宋_GB2312"/>
          <w:sz w:val="32"/>
          <w:szCs w:val="32"/>
        </w:rPr>
      </w:pPr>
    </w:p>
    <w:p>
      <w:pPr>
        <w:spacing w:line="200" w:lineRule="exact"/>
        <w:rPr>
          <w:rFonts w:ascii="仿宋_GB2312" w:hAnsi="华文中宋" w:eastAsia="仿宋_GB2312"/>
          <w:sz w:val="32"/>
          <w:szCs w:val="32"/>
        </w:rPr>
      </w:pPr>
    </w:p>
    <w:p>
      <w:pPr>
        <w:spacing w:line="200" w:lineRule="exact"/>
        <w:rPr>
          <w:rFonts w:ascii="仿宋_GB2312" w:hAnsi="华文中宋" w:eastAsia="仿宋_GB2312"/>
          <w:sz w:val="32"/>
          <w:szCs w:val="32"/>
        </w:rPr>
      </w:pPr>
    </w:p>
    <w:p>
      <w:pPr>
        <w:spacing w:line="200" w:lineRule="exact"/>
        <w:rPr>
          <w:rFonts w:ascii="仿宋_GB2312" w:hAnsi="华文中宋" w:eastAsia="仿宋_GB2312"/>
          <w:sz w:val="32"/>
          <w:szCs w:val="32"/>
        </w:rPr>
      </w:pPr>
    </w:p>
    <w:p>
      <w:pPr>
        <w:spacing w:line="200" w:lineRule="exact"/>
        <w:rPr>
          <w:rFonts w:ascii="仿宋_GB2312" w:hAnsi="华文中宋" w:eastAsia="仿宋_GB2312"/>
          <w:sz w:val="32"/>
          <w:szCs w:val="32"/>
        </w:rPr>
      </w:pPr>
    </w:p>
    <w:p>
      <w:pPr>
        <w:spacing w:line="200" w:lineRule="exact"/>
        <w:rPr>
          <w:rFonts w:ascii="仿宋_GB2312" w:eastAsia="仿宋_GB2312"/>
          <w:sz w:val="32"/>
        </w:rPr>
      </w:pPr>
      <w:r>
        <w:rPr>
          <w:rFonts w:hint="eastAsia" w:ascii="仿宋_GB2312" w:eastAsia="仿宋_GB2312"/>
          <w:sz w:val="32"/>
        </w:rPr>
        <w:t>━━━━━━━━━━━━━━━━━━━━━━━━━━</w:t>
      </w:r>
    </w:p>
    <w:p>
      <w:pPr>
        <w:spacing w:line="320" w:lineRule="exact"/>
        <w:ind w:left="1277" w:leftChars="151" w:hanging="960" w:hangingChars="300"/>
        <w:rPr>
          <w:rFonts w:ascii="仿宋_GB2312" w:eastAsia="仿宋_GB2312"/>
          <w:sz w:val="32"/>
        </w:rPr>
      </w:pPr>
      <w:r>
        <w:rPr>
          <w:rFonts w:hint="eastAsia" w:ascii="仿宋_GB2312" w:eastAsia="仿宋_GB2312"/>
          <w:sz w:val="32"/>
        </w:rPr>
        <w:t>抄送：市教育局，县府办，县编委办，县人力社保局。</w:t>
      </w:r>
    </w:p>
    <w:p>
      <w:pPr>
        <w:spacing w:line="200" w:lineRule="exact"/>
        <w:rPr>
          <w:rFonts w:ascii="仿宋_GB2312" w:eastAsia="仿宋_GB2312"/>
          <w:sz w:val="32"/>
        </w:rPr>
      </w:pPr>
      <w:r>
        <w:rPr>
          <w:rFonts w:hint="eastAsia" w:ascii="仿宋_GB2312" w:eastAsia="仿宋_GB2312"/>
          <w:sz w:val="32"/>
        </w:rPr>
        <w:t>━━━━━━━━━━━━━━━━━━━━━━━━━━</w:t>
      </w:r>
    </w:p>
    <w:p>
      <w:pPr>
        <w:spacing w:line="320" w:lineRule="exact"/>
        <w:ind w:firstLine="316" w:firstLineChars="99"/>
        <w:rPr>
          <w:rFonts w:ascii="仿宋_GB2312" w:eastAsia="仿宋_GB2312"/>
          <w:sz w:val="32"/>
        </w:rPr>
      </w:pPr>
      <w:r>
        <w:rPr>
          <w:rFonts w:hint="eastAsia" w:ascii="仿宋_GB2312" w:eastAsia="仿宋_GB2312"/>
          <w:sz w:val="32"/>
        </w:rPr>
        <w:t>嘉善县教育局办公室            2021年2月10日印发</w:t>
      </w:r>
    </w:p>
    <w:p>
      <w:pPr>
        <w:spacing w:line="200" w:lineRule="exact"/>
        <w:rPr>
          <w:rFonts w:ascii="仿宋_GB2312" w:eastAsia="仿宋_GB2312"/>
          <w:sz w:val="32"/>
        </w:rPr>
      </w:pPr>
      <w:r>
        <w:rPr>
          <w:rFonts w:hint="eastAsia" w:ascii="仿宋_GB2312" w:eastAsia="仿宋_GB2312"/>
          <w:sz w:val="32"/>
        </w:rPr>
        <w:t>━━━━━━━━━━━━━━━━━━━━━━━━━━</w:t>
      </w:r>
    </w:p>
    <w:sectPr>
      <w:pgSz w:w="11906" w:h="16838"/>
      <w:pgMar w:top="2098" w:right="1474" w:bottom="1985" w:left="1588" w:header="851" w:footer="992" w:gutter="0"/>
      <w:pgNumType w:fmt="numberInDash"/>
      <w:cols w:space="425" w:num="1"/>
      <w:docGrid w:type="lines" w:linePitch="318"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- 8 -</w:t>
    </w:r>
    <w:r>
      <w:rPr>
        <w:rStyle w:val="1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- 4 -</w:t>
    </w:r>
    <w:r>
      <w:rPr>
        <w:rStyle w:val="14"/>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- 18 -</w:t>
    </w:r>
    <w:r>
      <w:rPr>
        <w:rStyle w:val="14"/>
      </w:rPr>
      <w:fldChar w:fldCharType="end"/>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- 4 -</w:t>
    </w:r>
    <w:r>
      <w:rPr>
        <w:rStyle w:val="14"/>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dit="readOnly" w:enforcement="1" w:cryptProviderType="rsaFull" w:cryptAlgorithmClass="hash" w:cryptAlgorithmType="typeAny" w:cryptAlgorithmSid="4" w:cryptSpinCount="0" w:hash="2xcvXUwJo9a9gnkhkr9eeonp6fo=" w:salt="KpiStihpGAD3QSRb2ieqxQ=="/>
  <w:defaultTabStop w:val="420"/>
  <w:drawingGridHorizontalSpacing w:val="22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187C"/>
    <w:rsid w:val="00004792"/>
    <w:rsid w:val="000063A4"/>
    <w:rsid w:val="00011816"/>
    <w:rsid w:val="00012AE4"/>
    <w:rsid w:val="00015A9D"/>
    <w:rsid w:val="00021DCC"/>
    <w:rsid w:val="000237FE"/>
    <w:rsid w:val="00025A32"/>
    <w:rsid w:val="00027507"/>
    <w:rsid w:val="00030A83"/>
    <w:rsid w:val="00031268"/>
    <w:rsid w:val="0004570C"/>
    <w:rsid w:val="00052040"/>
    <w:rsid w:val="00066325"/>
    <w:rsid w:val="000711F7"/>
    <w:rsid w:val="00073258"/>
    <w:rsid w:val="00073FA1"/>
    <w:rsid w:val="00075430"/>
    <w:rsid w:val="00076B98"/>
    <w:rsid w:val="00090FA5"/>
    <w:rsid w:val="00091E4F"/>
    <w:rsid w:val="0009377D"/>
    <w:rsid w:val="00094D76"/>
    <w:rsid w:val="00094E25"/>
    <w:rsid w:val="000952EB"/>
    <w:rsid w:val="00095BDA"/>
    <w:rsid w:val="000A0C9C"/>
    <w:rsid w:val="000A0CE4"/>
    <w:rsid w:val="000A15D5"/>
    <w:rsid w:val="000A4350"/>
    <w:rsid w:val="000A6516"/>
    <w:rsid w:val="000B2550"/>
    <w:rsid w:val="000B3366"/>
    <w:rsid w:val="000B623F"/>
    <w:rsid w:val="000C26CC"/>
    <w:rsid w:val="000C4ED1"/>
    <w:rsid w:val="000C516E"/>
    <w:rsid w:val="000D7856"/>
    <w:rsid w:val="000E393E"/>
    <w:rsid w:val="000E7AFA"/>
    <w:rsid w:val="000F0CA7"/>
    <w:rsid w:val="000F11D4"/>
    <w:rsid w:val="000F356A"/>
    <w:rsid w:val="00102015"/>
    <w:rsid w:val="0010262B"/>
    <w:rsid w:val="00102FFE"/>
    <w:rsid w:val="00103788"/>
    <w:rsid w:val="00106E1D"/>
    <w:rsid w:val="001117AD"/>
    <w:rsid w:val="001141A6"/>
    <w:rsid w:val="00114450"/>
    <w:rsid w:val="00114E47"/>
    <w:rsid w:val="00115A3B"/>
    <w:rsid w:val="001171A9"/>
    <w:rsid w:val="00122814"/>
    <w:rsid w:val="00124F85"/>
    <w:rsid w:val="00125785"/>
    <w:rsid w:val="00130560"/>
    <w:rsid w:val="00133549"/>
    <w:rsid w:val="001364A0"/>
    <w:rsid w:val="00142248"/>
    <w:rsid w:val="00142F68"/>
    <w:rsid w:val="001514E1"/>
    <w:rsid w:val="00152789"/>
    <w:rsid w:val="00161F42"/>
    <w:rsid w:val="0016650C"/>
    <w:rsid w:val="00170076"/>
    <w:rsid w:val="001702DF"/>
    <w:rsid w:val="0017210E"/>
    <w:rsid w:val="00175F8C"/>
    <w:rsid w:val="001769C3"/>
    <w:rsid w:val="001804D7"/>
    <w:rsid w:val="00183630"/>
    <w:rsid w:val="001836C0"/>
    <w:rsid w:val="00186976"/>
    <w:rsid w:val="00187B77"/>
    <w:rsid w:val="00191EBB"/>
    <w:rsid w:val="00195770"/>
    <w:rsid w:val="001A077F"/>
    <w:rsid w:val="001A2D9A"/>
    <w:rsid w:val="001A7C19"/>
    <w:rsid w:val="001B01D1"/>
    <w:rsid w:val="001B0599"/>
    <w:rsid w:val="001B1BF8"/>
    <w:rsid w:val="001B5C24"/>
    <w:rsid w:val="001C5190"/>
    <w:rsid w:val="001D0CD0"/>
    <w:rsid w:val="001D6A94"/>
    <w:rsid w:val="001E22F7"/>
    <w:rsid w:val="001E7BA1"/>
    <w:rsid w:val="001F3496"/>
    <w:rsid w:val="001F7ED6"/>
    <w:rsid w:val="00201E4B"/>
    <w:rsid w:val="00207C59"/>
    <w:rsid w:val="002106C0"/>
    <w:rsid w:val="0021209D"/>
    <w:rsid w:val="00212284"/>
    <w:rsid w:val="00223E1C"/>
    <w:rsid w:val="002323DF"/>
    <w:rsid w:val="00234B0F"/>
    <w:rsid w:val="00235E21"/>
    <w:rsid w:val="00236105"/>
    <w:rsid w:val="00254690"/>
    <w:rsid w:val="002564FE"/>
    <w:rsid w:val="00256DB5"/>
    <w:rsid w:val="002576F8"/>
    <w:rsid w:val="00260718"/>
    <w:rsid w:val="00265652"/>
    <w:rsid w:val="00272DCF"/>
    <w:rsid w:val="00281643"/>
    <w:rsid w:val="00281A2D"/>
    <w:rsid w:val="002831EC"/>
    <w:rsid w:val="00284FEC"/>
    <w:rsid w:val="00286DD2"/>
    <w:rsid w:val="00287751"/>
    <w:rsid w:val="00290352"/>
    <w:rsid w:val="00292537"/>
    <w:rsid w:val="00293CC0"/>
    <w:rsid w:val="00296D31"/>
    <w:rsid w:val="00296FDB"/>
    <w:rsid w:val="002A0AC8"/>
    <w:rsid w:val="002A1CEC"/>
    <w:rsid w:val="002B315D"/>
    <w:rsid w:val="002B7415"/>
    <w:rsid w:val="002C3E28"/>
    <w:rsid w:val="002C7357"/>
    <w:rsid w:val="002C74DF"/>
    <w:rsid w:val="002C7BFD"/>
    <w:rsid w:val="002D4A9C"/>
    <w:rsid w:val="002D765A"/>
    <w:rsid w:val="002E766E"/>
    <w:rsid w:val="002F3711"/>
    <w:rsid w:val="002F7601"/>
    <w:rsid w:val="00303651"/>
    <w:rsid w:val="0030623B"/>
    <w:rsid w:val="003110D9"/>
    <w:rsid w:val="0031448D"/>
    <w:rsid w:val="00317597"/>
    <w:rsid w:val="00320F83"/>
    <w:rsid w:val="00321355"/>
    <w:rsid w:val="00331524"/>
    <w:rsid w:val="00332C48"/>
    <w:rsid w:val="003333EB"/>
    <w:rsid w:val="00333538"/>
    <w:rsid w:val="00341122"/>
    <w:rsid w:val="00345207"/>
    <w:rsid w:val="00347FA2"/>
    <w:rsid w:val="00353564"/>
    <w:rsid w:val="00357178"/>
    <w:rsid w:val="00364343"/>
    <w:rsid w:val="00371A21"/>
    <w:rsid w:val="00374D5D"/>
    <w:rsid w:val="00381DF2"/>
    <w:rsid w:val="00383D40"/>
    <w:rsid w:val="00385F19"/>
    <w:rsid w:val="003961CB"/>
    <w:rsid w:val="00396D91"/>
    <w:rsid w:val="003A1358"/>
    <w:rsid w:val="003A1F24"/>
    <w:rsid w:val="003A3686"/>
    <w:rsid w:val="003A39B3"/>
    <w:rsid w:val="003A7F0C"/>
    <w:rsid w:val="003B1FBB"/>
    <w:rsid w:val="003C03BE"/>
    <w:rsid w:val="003C14C5"/>
    <w:rsid w:val="003D07B6"/>
    <w:rsid w:val="003D143D"/>
    <w:rsid w:val="003D1D03"/>
    <w:rsid w:val="003D2F9B"/>
    <w:rsid w:val="003D438C"/>
    <w:rsid w:val="003D443D"/>
    <w:rsid w:val="003E31D3"/>
    <w:rsid w:val="003E6450"/>
    <w:rsid w:val="003F0377"/>
    <w:rsid w:val="003F07FA"/>
    <w:rsid w:val="003F20ED"/>
    <w:rsid w:val="003F3B99"/>
    <w:rsid w:val="003F3D35"/>
    <w:rsid w:val="00403073"/>
    <w:rsid w:val="00403F44"/>
    <w:rsid w:val="004050F7"/>
    <w:rsid w:val="004052F2"/>
    <w:rsid w:val="0041056A"/>
    <w:rsid w:val="00410E53"/>
    <w:rsid w:val="00412566"/>
    <w:rsid w:val="00420BE2"/>
    <w:rsid w:val="0042160F"/>
    <w:rsid w:val="00421725"/>
    <w:rsid w:val="00422CBB"/>
    <w:rsid w:val="00422F8E"/>
    <w:rsid w:val="00426958"/>
    <w:rsid w:val="004304F3"/>
    <w:rsid w:val="004337CC"/>
    <w:rsid w:val="0044105C"/>
    <w:rsid w:val="00446FA6"/>
    <w:rsid w:val="004501FE"/>
    <w:rsid w:val="004520B1"/>
    <w:rsid w:val="00452265"/>
    <w:rsid w:val="004534A0"/>
    <w:rsid w:val="0045355D"/>
    <w:rsid w:val="00455597"/>
    <w:rsid w:val="00456140"/>
    <w:rsid w:val="0046245E"/>
    <w:rsid w:val="00462709"/>
    <w:rsid w:val="0046321E"/>
    <w:rsid w:val="00467F07"/>
    <w:rsid w:val="00472522"/>
    <w:rsid w:val="004729AD"/>
    <w:rsid w:val="0047565A"/>
    <w:rsid w:val="004773D7"/>
    <w:rsid w:val="004801C9"/>
    <w:rsid w:val="00480BDD"/>
    <w:rsid w:val="004814E8"/>
    <w:rsid w:val="00483931"/>
    <w:rsid w:val="00492C0A"/>
    <w:rsid w:val="004A49D5"/>
    <w:rsid w:val="004A73C3"/>
    <w:rsid w:val="004A75DD"/>
    <w:rsid w:val="004B53B2"/>
    <w:rsid w:val="004C4DEB"/>
    <w:rsid w:val="004C5724"/>
    <w:rsid w:val="004D0B4F"/>
    <w:rsid w:val="004E2AFA"/>
    <w:rsid w:val="004E5354"/>
    <w:rsid w:val="004E7B1D"/>
    <w:rsid w:val="004F0C84"/>
    <w:rsid w:val="004F5263"/>
    <w:rsid w:val="004F5E42"/>
    <w:rsid w:val="004F679B"/>
    <w:rsid w:val="004F720D"/>
    <w:rsid w:val="00505680"/>
    <w:rsid w:val="00505CC5"/>
    <w:rsid w:val="0050717F"/>
    <w:rsid w:val="005150DA"/>
    <w:rsid w:val="0051676B"/>
    <w:rsid w:val="00517D25"/>
    <w:rsid w:val="00522CB9"/>
    <w:rsid w:val="00525761"/>
    <w:rsid w:val="00532D9C"/>
    <w:rsid w:val="0053382D"/>
    <w:rsid w:val="005347D7"/>
    <w:rsid w:val="005417A4"/>
    <w:rsid w:val="00542EB7"/>
    <w:rsid w:val="00545CFF"/>
    <w:rsid w:val="005464C7"/>
    <w:rsid w:val="0055252E"/>
    <w:rsid w:val="005536AE"/>
    <w:rsid w:val="005542A0"/>
    <w:rsid w:val="00555315"/>
    <w:rsid w:val="005608A0"/>
    <w:rsid w:val="005630F1"/>
    <w:rsid w:val="0056520C"/>
    <w:rsid w:val="005716FE"/>
    <w:rsid w:val="00571DEF"/>
    <w:rsid w:val="00574797"/>
    <w:rsid w:val="00575420"/>
    <w:rsid w:val="00585355"/>
    <w:rsid w:val="0058764C"/>
    <w:rsid w:val="00587938"/>
    <w:rsid w:val="0059795E"/>
    <w:rsid w:val="005A04BA"/>
    <w:rsid w:val="005A1308"/>
    <w:rsid w:val="005A2A2D"/>
    <w:rsid w:val="005A3E34"/>
    <w:rsid w:val="005A4DB3"/>
    <w:rsid w:val="005A6BEF"/>
    <w:rsid w:val="005A79D7"/>
    <w:rsid w:val="005B58B0"/>
    <w:rsid w:val="005C582D"/>
    <w:rsid w:val="005D40AC"/>
    <w:rsid w:val="005E0D87"/>
    <w:rsid w:val="005F206B"/>
    <w:rsid w:val="005F6EDB"/>
    <w:rsid w:val="0061068E"/>
    <w:rsid w:val="00613F58"/>
    <w:rsid w:val="00621962"/>
    <w:rsid w:val="0062207E"/>
    <w:rsid w:val="00622D34"/>
    <w:rsid w:val="0062592B"/>
    <w:rsid w:val="00626C3D"/>
    <w:rsid w:val="00642246"/>
    <w:rsid w:val="00642E44"/>
    <w:rsid w:val="00643F6A"/>
    <w:rsid w:val="00644234"/>
    <w:rsid w:val="00650FF0"/>
    <w:rsid w:val="00656D25"/>
    <w:rsid w:val="006612BE"/>
    <w:rsid w:val="0066155F"/>
    <w:rsid w:val="0066193C"/>
    <w:rsid w:val="00663092"/>
    <w:rsid w:val="006643A3"/>
    <w:rsid w:val="0067735A"/>
    <w:rsid w:val="00687E1D"/>
    <w:rsid w:val="00690A3E"/>
    <w:rsid w:val="0069330A"/>
    <w:rsid w:val="0069336F"/>
    <w:rsid w:val="00695CA7"/>
    <w:rsid w:val="006A2394"/>
    <w:rsid w:val="006A252A"/>
    <w:rsid w:val="006A3AEF"/>
    <w:rsid w:val="006A4B00"/>
    <w:rsid w:val="006A56FA"/>
    <w:rsid w:val="006B5400"/>
    <w:rsid w:val="006B566E"/>
    <w:rsid w:val="006B5C76"/>
    <w:rsid w:val="006B5F18"/>
    <w:rsid w:val="006C624C"/>
    <w:rsid w:val="006D24EC"/>
    <w:rsid w:val="006D478D"/>
    <w:rsid w:val="006D4C51"/>
    <w:rsid w:val="006E0915"/>
    <w:rsid w:val="006E27F4"/>
    <w:rsid w:val="006E3B46"/>
    <w:rsid w:val="006F3A2F"/>
    <w:rsid w:val="006F3DC7"/>
    <w:rsid w:val="007047E0"/>
    <w:rsid w:val="007066AF"/>
    <w:rsid w:val="00707B2F"/>
    <w:rsid w:val="00717406"/>
    <w:rsid w:val="00725FA1"/>
    <w:rsid w:val="00736E28"/>
    <w:rsid w:val="00742C76"/>
    <w:rsid w:val="00745E23"/>
    <w:rsid w:val="00747FA3"/>
    <w:rsid w:val="0075447B"/>
    <w:rsid w:val="007561A1"/>
    <w:rsid w:val="007562DA"/>
    <w:rsid w:val="007565CF"/>
    <w:rsid w:val="00760895"/>
    <w:rsid w:val="007659E6"/>
    <w:rsid w:val="007841BA"/>
    <w:rsid w:val="00786233"/>
    <w:rsid w:val="00787F40"/>
    <w:rsid w:val="00796C7B"/>
    <w:rsid w:val="007973E1"/>
    <w:rsid w:val="007A17CC"/>
    <w:rsid w:val="007A1F0B"/>
    <w:rsid w:val="007A3460"/>
    <w:rsid w:val="007A5342"/>
    <w:rsid w:val="007A5593"/>
    <w:rsid w:val="007A5EAC"/>
    <w:rsid w:val="007B27BC"/>
    <w:rsid w:val="007B7B07"/>
    <w:rsid w:val="007C1921"/>
    <w:rsid w:val="007D07F0"/>
    <w:rsid w:val="007D1C2E"/>
    <w:rsid w:val="007D2D98"/>
    <w:rsid w:val="007D507F"/>
    <w:rsid w:val="007E1573"/>
    <w:rsid w:val="007E42A3"/>
    <w:rsid w:val="007E7D8E"/>
    <w:rsid w:val="007F2156"/>
    <w:rsid w:val="007F2447"/>
    <w:rsid w:val="007F7837"/>
    <w:rsid w:val="008034FA"/>
    <w:rsid w:val="00803E0F"/>
    <w:rsid w:val="00803FEC"/>
    <w:rsid w:val="00807C4C"/>
    <w:rsid w:val="00816362"/>
    <w:rsid w:val="0082194B"/>
    <w:rsid w:val="0082213F"/>
    <w:rsid w:val="00831091"/>
    <w:rsid w:val="008335F0"/>
    <w:rsid w:val="00835990"/>
    <w:rsid w:val="008400F0"/>
    <w:rsid w:val="008427CF"/>
    <w:rsid w:val="008513A6"/>
    <w:rsid w:val="00854346"/>
    <w:rsid w:val="0086293E"/>
    <w:rsid w:val="008649D4"/>
    <w:rsid w:val="00866AA4"/>
    <w:rsid w:val="008674C2"/>
    <w:rsid w:val="00867622"/>
    <w:rsid w:val="008710A4"/>
    <w:rsid w:val="00873094"/>
    <w:rsid w:val="00875061"/>
    <w:rsid w:val="0087567A"/>
    <w:rsid w:val="00876C3D"/>
    <w:rsid w:val="00882603"/>
    <w:rsid w:val="00885EF1"/>
    <w:rsid w:val="00891DDD"/>
    <w:rsid w:val="008951D4"/>
    <w:rsid w:val="00895504"/>
    <w:rsid w:val="008A1B0E"/>
    <w:rsid w:val="008B4325"/>
    <w:rsid w:val="008C6170"/>
    <w:rsid w:val="008D1770"/>
    <w:rsid w:val="008D1780"/>
    <w:rsid w:val="008D5EA4"/>
    <w:rsid w:val="008D5FE0"/>
    <w:rsid w:val="008D6FA3"/>
    <w:rsid w:val="008E2CCF"/>
    <w:rsid w:val="008E3646"/>
    <w:rsid w:val="008E55A4"/>
    <w:rsid w:val="008E5CCB"/>
    <w:rsid w:val="008E6D31"/>
    <w:rsid w:val="008F10FE"/>
    <w:rsid w:val="008F1625"/>
    <w:rsid w:val="008F291D"/>
    <w:rsid w:val="008F4B53"/>
    <w:rsid w:val="008F6E9B"/>
    <w:rsid w:val="00902B3C"/>
    <w:rsid w:val="00903DE7"/>
    <w:rsid w:val="00910E8A"/>
    <w:rsid w:val="009134E2"/>
    <w:rsid w:val="0092144F"/>
    <w:rsid w:val="00922123"/>
    <w:rsid w:val="00926FF7"/>
    <w:rsid w:val="009326D8"/>
    <w:rsid w:val="00933177"/>
    <w:rsid w:val="00937516"/>
    <w:rsid w:val="00937994"/>
    <w:rsid w:val="00940CEF"/>
    <w:rsid w:val="0094601D"/>
    <w:rsid w:val="00951F32"/>
    <w:rsid w:val="0095233F"/>
    <w:rsid w:val="009523B2"/>
    <w:rsid w:val="00954682"/>
    <w:rsid w:val="00955C64"/>
    <w:rsid w:val="009561C1"/>
    <w:rsid w:val="00962383"/>
    <w:rsid w:val="00962764"/>
    <w:rsid w:val="00966A13"/>
    <w:rsid w:val="00966ED5"/>
    <w:rsid w:val="009734D6"/>
    <w:rsid w:val="00973E3D"/>
    <w:rsid w:val="009777BF"/>
    <w:rsid w:val="0098299E"/>
    <w:rsid w:val="00987945"/>
    <w:rsid w:val="009952C3"/>
    <w:rsid w:val="009977DB"/>
    <w:rsid w:val="009B5DF8"/>
    <w:rsid w:val="009B7486"/>
    <w:rsid w:val="009C28F8"/>
    <w:rsid w:val="009C3233"/>
    <w:rsid w:val="009C7327"/>
    <w:rsid w:val="009C7899"/>
    <w:rsid w:val="009C7E45"/>
    <w:rsid w:val="009D2073"/>
    <w:rsid w:val="009E2465"/>
    <w:rsid w:val="009E3327"/>
    <w:rsid w:val="009E46C2"/>
    <w:rsid w:val="009E6677"/>
    <w:rsid w:val="009F38EC"/>
    <w:rsid w:val="009F4650"/>
    <w:rsid w:val="009F6F21"/>
    <w:rsid w:val="00A0215B"/>
    <w:rsid w:val="00A02CBE"/>
    <w:rsid w:val="00A05FC1"/>
    <w:rsid w:val="00A1489E"/>
    <w:rsid w:val="00A168CD"/>
    <w:rsid w:val="00A21D4E"/>
    <w:rsid w:val="00A222BC"/>
    <w:rsid w:val="00A2585A"/>
    <w:rsid w:val="00A2599C"/>
    <w:rsid w:val="00A25E02"/>
    <w:rsid w:val="00A335B7"/>
    <w:rsid w:val="00A33C20"/>
    <w:rsid w:val="00A419C5"/>
    <w:rsid w:val="00A4215D"/>
    <w:rsid w:val="00A42292"/>
    <w:rsid w:val="00A45699"/>
    <w:rsid w:val="00A45863"/>
    <w:rsid w:val="00A50AB7"/>
    <w:rsid w:val="00A50DA0"/>
    <w:rsid w:val="00A51CC0"/>
    <w:rsid w:val="00A548FB"/>
    <w:rsid w:val="00A55CF3"/>
    <w:rsid w:val="00A611F2"/>
    <w:rsid w:val="00A623B3"/>
    <w:rsid w:val="00A63650"/>
    <w:rsid w:val="00A67600"/>
    <w:rsid w:val="00A70873"/>
    <w:rsid w:val="00A71EEE"/>
    <w:rsid w:val="00A858FE"/>
    <w:rsid w:val="00A9001B"/>
    <w:rsid w:val="00A96683"/>
    <w:rsid w:val="00AA0540"/>
    <w:rsid w:val="00AA2D09"/>
    <w:rsid w:val="00AA33C6"/>
    <w:rsid w:val="00AA369A"/>
    <w:rsid w:val="00AA5601"/>
    <w:rsid w:val="00AA5DD7"/>
    <w:rsid w:val="00AA727A"/>
    <w:rsid w:val="00AB0CC9"/>
    <w:rsid w:val="00AB3A5E"/>
    <w:rsid w:val="00AB6AE5"/>
    <w:rsid w:val="00AB78AC"/>
    <w:rsid w:val="00AC2964"/>
    <w:rsid w:val="00AC61A6"/>
    <w:rsid w:val="00AC6FB0"/>
    <w:rsid w:val="00AD0F85"/>
    <w:rsid w:val="00AD122D"/>
    <w:rsid w:val="00AD218E"/>
    <w:rsid w:val="00AD34EC"/>
    <w:rsid w:val="00AE0E3E"/>
    <w:rsid w:val="00AE1F38"/>
    <w:rsid w:val="00AE798D"/>
    <w:rsid w:val="00AF709E"/>
    <w:rsid w:val="00AF7173"/>
    <w:rsid w:val="00B02461"/>
    <w:rsid w:val="00B06198"/>
    <w:rsid w:val="00B07897"/>
    <w:rsid w:val="00B12355"/>
    <w:rsid w:val="00B14C66"/>
    <w:rsid w:val="00B17E09"/>
    <w:rsid w:val="00B209A8"/>
    <w:rsid w:val="00B2627A"/>
    <w:rsid w:val="00B27F6E"/>
    <w:rsid w:val="00B30ECB"/>
    <w:rsid w:val="00B37A39"/>
    <w:rsid w:val="00B420D7"/>
    <w:rsid w:val="00B51BAA"/>
    <w:rsid w:val="00B53D23"/>
    <w:rsid w:val="00B56003"/>
    <w:rsid w:val="00B61988"/>
    <w:rsid w:val="00B65EDB"/>
    <w:rsid w:val="00B679E4"/>
    <w:rsid w:val="00B73732"/>
    <w:rsid w:val="00B75601"/>
    <w:rsid w:val="00B816D1"/>
    <w:rsid w:val="00B84861"/>
    <w:rsid w:val="00B9204B"/>
    <w:rsid w:val="00B96831"/>
    <w:rsid w:val="00BA5CE9"/>
    <w:rsid w:val="00BB38BB"/>
    <w:rsid w:val="00BB6E83"/>
    <w:rsid w:val="00BC05CE"/>
    <w:rsid w:val="00BC207A"/>
    <w:rsid w:val="00BC28B2"/>
    <w:rsid w:val="00BC5F51"/>
    <w:rsid w:val="00BD27E7"/>
    <w:rsid w:val="00BD2C2B"/>
    <w:rsid w:val="00BD3DF8"/>
    <w:rsid w:val="00BD5282"/>
    <w:rsid w:val="00BD5802"/>
    <w:rsid w:val="00BE2757"/>
    <w:rsid w:val="00BF5914"/>
    <w:rsid w:val="00BF636F"/>
    <w:rsid w:val="00C0193D"/>
    <w:rsid w:val="00C079E5"/>
    <w:rsid w:val="00C179BF"/>
    <w:rsid w:val="00C20786"/>
    <w:rsid w:val="00C219BD"/>
    <w:rsid w:val="00C21C65"/>
    <w:rsid w:val="00C244B3"/>
    <w:rsid w:val="00C24A93"/>
    <w:rsid w:val="00C275E1"/>
    <w:rsid w:val="00C300A9"/>
    <w:rsid w:val="00C33717"/>
    <w:rsid w:val="00C47B85"/>
    <w:rsid w:val="00C54013"/>
    <w:rsid w:val="00C548E0"/>
    <w:rsid w:val="00C5680B"/>
    <w:rsid w:val="00C62116"/>
    <w:rsid w:val="00C7187C"/>
    <w:rsid w:val="00C72880"/>
    <w:rsid w:val="00C72977"/>
    <w:rsid w:val="00C72B86"/>
    <w:rsid w:val="00C8190F"/>
    <w:rsid w:val="00C90879"/>
    <w:rsid w:val="00C950E6"/>
    <w:rsid w:val="00CA12C4"/>
    <w:rsid w:val="00CA4C3F"/>
    <w:rsid w:val="00CB0635"/>
    <w:rsid w:val="00CB231C"/>
    <w:rsid w:val="00CB4477"/>
    <w:rsid w:val="00CB5ADA"/>
    <w:rsid w:val="00CB78A3"/>
    <w:rsid w:val="00CC0F57"/>
    <w:rsid w:val="00CC1846"/>
    <w:rsid w:val="00CC7922"/>
    <w:rsid w:val="00CD25FA"/>
    <w:rsid w:val="00CD2C9E"/>
    <w:rsid w:val="00CD32E7"/>
    <w:rsid w:val="00CE07F8"/>
    <w:rsid w:val="00CE1B0F"/>
    <w:rsid w:val="00CE6F91"/>
    <w:rsid w:val="00CF45BB"/>
    <w:rsid w:val="00CF49BC"/>
    <w:rsid w:val="00D0748E"/>
    <w:rsid w:val="00D1623A"/>
    <w:rsid w:val="00D21BCD"/>
    <w:rsid w:val="00D3003E"/>
    <w:rsid w:val="00D3551A"/>
    <w:rsid w:val="00D46C84"/>
    <w:rsid w:val="00D52465"/>
    <w:rsid w:val="00D53592"/>
    <w:rsid w:val="00D6026E"/>
    <w:rsid w:val="00D637B4"/>
    <w:rsid w:val="00D67A4C"/>
    <w:rsid w:val="00D718D0"/>
    <w:rsid w:val="00D762D9"/>
    <w:rsid w:val="00D8174E"/>
    <w:rsid w:val="00D81AB2"/>
    <w:rsid w:val="00D81FD6"/>
    <w:rsid w:val="00D843CE"/>
    <w:rsid w:val="00D92F9C"/>
    <w:rsid w:val="00D93F6E"/>
    <w:rsid w:val="00D9553B"/>
    <w:rsid w:val="00D97A7A"/>
    <w:rsid w:val="00DA095D"/>
    <w:rsid w:val="00DA5838"/>
    <w:rsid w:val="00DA6605"/>
    <w:rsid w:val="00DA75DA"/>
    <w:rsid w:val="00DB19CC"/>
    <w:rsid w:val="00DB1BA1"/>
    <w:rsid w:val="00DB1F2F"/>
    <w:rsid w:val="00DC129D"/>
    <w:rsid w:val="00DC2D7E"/>
    <w:rsid w:val="00DC6B42"/>
    <w:rsid w:val="00DC7C11"/>
    <w:rsid w:val="00DD5AF7"/>
    <w:rsid w:val="00DD5CF1"/>
    <w:rsid w:val="00DD6361"/>
    <w:rsid w:val="00DD64A9"/>
    <w:rsid w:val="00DF2E6D"/>
    <w:rsid w:val="00DF648C"/>
    <w:rsid w:val="00DF7892"/>
    <w:rsid w:val="00DF7A75"/>
    <w:rsid w:val="00E01B0E"/>
    <w:rsid w:val="00E12346"/>
    <w:rsid w:val="00E14204"/>
    <w:rsid w:val="00E14EB6"/>
    <w:rsid w:val="00E20CC4"/>
    <w:rsid w:val="00E21D14"/>
    <w:rsid w:val="00E30EF5"/>
    <w:rsid w:val="00E34478"/>
    <w:rsid w:val="00E416B7"/>
    <w:rsid w:val="00E43F66"/>
    <w:rsid w:val="00E45A13"/>
    <w:rsid w:val="00E54F44"/>
    <w:rsid w:val="00E55FE0"/>
    <w:rsid w:val="00E563C8"/>
    <w:rsid w:val="00E56D4F"/>
    <w:rsid w:val="00E64C7E"/>
    <w:rsid w:val="00E64E88"/>
    <w:rsid w:val="00E6709E"/>
    <w:rsid w:val="00E74A31"/>
    <w:rsid w:val="00E771A3"/>
    <w:rsid w:val="00E87D63"/>
    <w:rsid w:val="00E92782"/>
    <w:rsid w:val="00E93339"/>
    <w:rsid w:val="00E95BDE"/>
    <w:rsid w:val="00E962BB"/>
    <w:rsid w:val="00E9720C"/>
    <w:rsid w:val="00EA2FC0"/>
    <w:rsid w:val="00EA3DCA"/>
    <w:rsid w:val="00EA5DEF"/>
    <w:rsid w:val="00EA779E"/>
    <w:rsid w:val="00EB0353"/>
    <w:rsid w:val="00EB1C87"/>
    <w:rsid w:val="00EB33CE"/>
    <w:rsid w:val="00EB3D3F"/>
    <w:rsid w:val="00EB57D2"/>
    <w:rsid w:val="00EB69AC"/>
    <w:rsid w:val="00EC60C5"/>
    <w:rsid w:val="00EC69C9"/>
    <w:rsid w:val="00ED1DA9"/>
    <w:rsid w:val="00ED2769"/>
    <w:rsid w:val="00ED3EE3"/>
    <w:rsid w:val="00ED50ED"/>
    <w:rsid w:val="00EE0E7B"/>
    <w:rsid w:val="00EE341A"/>
    <w:rsid w:val="00EE72EB"/>
    <w:rsid w:val="00EF165F"/>
    <w:rsid w:val="00EF35A3"/>
    <w:rsid w:val="00EF64AC"/>
    <w:rsid w:val="00F01AC8"/>
    <w:rsid w:val="00F06B83"/>
    <w:rsid w:val="00F112DC"/>
    <w:rsid w:val="00F1184E"/>
    <w:rsid w:val="00F13AF2"/>
    <w:rsid w:val="00F14836"/>
    <w:rsid w:val="00F155FE"/>
    <w:rsid w:val="00F2005C"/>
    <w:rsid w:val="00F20719"/>
    <w:rsid w:val="00F26219"/>
    <w:rsid w:val="00F3071A"/>
    <w:rsid w:val="00F30C34"/>
    <w:rsid w:val="00F32262"/>
    <w:rsid w:val="00F36805"/>
    <w:rsid w:val="00F376CF"/>
    <w:rsid w:val="00F40D0F"/>
    <w:rsid w:val="00F420D7"/>
    <w:rsid w:val="00F43370"/>
    <w:rsid w:val="00F433DF"/>
    <w:rsid w:val="00F53996"/>
    <w:rsid w:val="00F5445C"/>
    <w:rsid w:val="00F57054"/>
    <w:rsid w:val="00F60B3B"/>
    <w:rsid w:val="00F636A9"/>
    <w:rsid w:val="00F64390"/>
    <w:rsid w:val="00F67CDB"/>
    <w:rsid w:val="00F7226A"/>
    <w:rsid w:val="00F7469F"/>
    <w:rsid w:val="00F75886"/>
    <w:rsid w:val="00F8132F"/>
    <w:rsid w:val="00F81B6B"/>
    <w:rsid w:val="00F8404C"/>
    <w:rsid w:val="00F8627C"/>
    <w:rsid w:val="00F86EF9"/>
    <w:rsid w:val="00F875C9"/>
    <w:rsid w:val="00F9075B"/>
    <w:rsid w:val="00F93867"/>
    <w:rsid w:val="00FA38B7"/>
    <w:rsid w:val="00FB3395"/>
    <w:rsid w:val="00FB3B3C"/>
    <w:rsid w:val="00FB5A6A"/>
    <w:rsid w:val="00FC0A70"/>
    <w:rsid w:val="00FC2DF1"/>
    <w:rsid w:val="00FC5A6A"/>
    <w:rsid w:val="00FD1619"/>
    <w:rsid w:val="00FD620D"/>
    <w:rsid w:val="00FD70F4"/>
    <w:rsid w:val="00FE0690"/>
    <w:rsid w:val="00FE1D41"/>
    <w:rsid w:val="00FE4135"/>
    <w:rsid w:val="00FE5237"/>
    <w:rsid w:val="00FE73D8"/>
    <w:rsid w:val="00FE7528"/>
    <w:rsid w:val="00FF1EA3"/>
    <w:rsid w:val="00FF3A64"/>
    <w:rsid w:val="00FF627D"/>
    <w:rsid w:val="0F43772A"/>
    <w:rsid w:val="21D434AA"/>
    <w:rsid w:val="54DA598C"/>
    <w:rsid w:val="56C4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35"/>
    </w:pPr>
    <w:rPr>
      <w:rFonts w:ascii="黑体" w:eastAsia="黑体"/>
      <w:b/>
      <w:bCs/>
      <w:sz w:val="36"/>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after="100"/>
      <w:jc w:val="left"/>
    </w:pPr>
    <w:rPr>
      <w:rFonts w:ascii="宋体" w:hAnsi="宋体"/>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1"/>
    <w:basedOn w:val="1"/>
    <w:qFormat/>
    <w:uiPriority w:val="0"/>
  </w:style>
  <w:style w:type="paragraph" w:customStyle="1" w:styleId="17">
    <w:name w:val="Char11"/>
    <w:basedOn w:val="1"/>
    <w:qFormat/>
    <w:uiPriority w:val="0"/>
  </w:style>
  <w:style w:type="paragraph" w:customStyle="1" w:styleId="18">
    <w:name w:val="Char"/>
    <w:basedOn w:val="1"/>
    <w:qFormat/>
    <w:uiPriority w:val="0"/>
  </w:style>
  <w:style w:type="paragraph" w:styleId="19">
    <w:name w:val="List Paragraph"/>
    <w:basedOn w:val="1"/>
    <w:qFormat/>
    <w:uiPriority w:val="99"/>
    <w:pPr>
      <w:ind w:firstLine="420" w:firstLineChars="200"/>
    </w:pPr>
  </w:style>
  <w:style w:type="paragraph" w:customStyle="1" w:styleId="20">
    <w:name w:val="Char12"/>
    <w:basedOn w:val="1"/>
    <w:qFormat/>
    <w:uiPriority w:val="0"/>
  </w:style>
  <w:style w:type="paragraph" w:customStyle="1" w:styleId="21">
    <w:name w:val="Body text|2"/>
    <w:basedOn w:val="1"/>
    <w:qFormat/>
    <w:uiPriority w:val="0"/>
    <w:pPr>
      <w:jc w:val="center"/>
    </w:pPr>
    <w:rPr>
      <w:rFonts w:ascii="宋体" w:hAnsi="宋体" w:cs="宋体"/>
      <w:sz w:val="26"/>
      <w:szCs w:val="26"/>
      <w:lang w:val="zh-CN" w:bidi="zh-CN"/>
    </w:rPr>
  </w:style>
  <w:style w:type="character" w:customStyle="1" w:styleId="22">
    <w:name w:val="页眉 Char"/>
    <w:basedOn w:val="12"/>
    <w:link w:val="8"/>
    <w:uiPriority w:val="0"/>
    <w:rPr>
      <w:kern w:val="2"/>
      <w:sz w:val="18"/>
      <w:szCs w:val="18"/>
    </w:rPr>
  </w:style>
  <w:style w:type="character" w:customStyle="1" w:styleId="23">
    <w:name w:val="页脚 Char"/>
    <w:basedOn w:val="12"/>
    <w:link w:val="7"/>
    <w:qFormat/>
    <w:uiPriority w:val="0"/>
    <w:rPr>
      <w:kern w:val="2"/>
      <w:sz w:val="18"/>
      <w:szCs w:val="18"/>
    </w:rPr>
  </w:style>
  <w:style w:type="paragraph" w:customStyle="1" w:styleId="24">
    <w:name w:val="Table Paragraph"/>
    <w:basedOn w:val="1"/>
    <w:qFormat/>
    <w:uiPriority w:val="1"/>
    <w:pPr>
      <w:autoSpaceDE w:val="0"/>
      <w:autoSpaceDN w:val="0"/>
      <w:jc w:val="left"/>
    </w:pPr>
    <w:rPr>
      <w:rFonts w:ascii="微软雅黑" w:hAnsi="微软雅黑" w:eastAsia="微软雅黑" w:cs="微软雅黑"/>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jywys</Company>
  <Pages>18</Pages>
  <Words>1195</Words>
  <Characters>6816</Characters>
  <Lines>56</Lines>
  <Paragraphs>15</Paragraphs>
  <TotalTime>11</TotalTime>
  <ScaleCrop>false</ScaleCrop>
  <LinksUpToDate>false</LinksUpToDate>
  <CharactersWithSpaces>7996</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2021-02-10T01:48:00Z</dcterms:created>
  <dc:creator>本单位</dc:creator>
  <cp:lastModifiedBy>Administrator</cp:lastModifiedBy>
  <cp:lastPrinted>2020-03-26T07:09:00Z</cp:lastPrinted>
  <dcterms:modified xsi:type="dcterms:W3CDTF">2021-02-10T06:28:36Z</dcterms:modified>
  <dc:title>善教普（2001）字第34号关于2001年嘉善县初中毕业生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