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textAlignment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附件1：</w:t>
      </w:r>
    </w:p>
    <w:p>
      <w:pPr>
        <w:snapToGrid w:val="0"/>
        <w:spacing w:line="566" w:lineRule="atLeast"/>
        <w:ind w:left="-17" w:leftChars="-8" w:right="-313" w:rightChars="-149" w:firstLine="18" w:firstLineChars="5"/>
        <w:jc w:val="center"/>
        <w:textAlignment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eastAsia="zh-CN"/>
        </w:rPr>
        <w:t>邵东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市警务保障服务中心20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年公开招聘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eastAsia="zh-CN"/>
        </w:rPr>
        <w:t>事业编制人员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计划与岗位要求表</w:t>
      </w:r>
      <w:bookmarkEnd w:id="0"/>
    </w:p>
    <w:tbl>
      <w:tblPr>
        <w:tblStyle w:val="2"/>
        <w:tblW w:w="8971" w:type="dxa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540"/>
        <w:gridCol w:w="540"/>
        <w:gridCol w:w="585"/>
        <w:gridCol w:w="480"/>
        <w:gridCol w:w="690"/>
        <w:gridCol w:w="630"/>
        <w:gridCol w:w="960"/>
        <w:gridCol w:w="274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tblHeader/>
        </w:trPr>
        <w:tc>
          <w:tcPr>
            <w:tcW w:w="616" w:type="dxa"/>
            <w:vMerge w:val="restart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招聘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 xml:space="preserve"> 单位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岗位类别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岗位代码</w:t>
            </w:r>
          </w:p>
        </w:tc>
        <w:tc>
          <w:tcPr>
            <w:tcW w:w="585" w:type="dxa"/>
            <w:vMerge w:val="restart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岗位 名称</w:t>
            </w:r>
          </w:p>
        </w:tc>
        <w:tc>
          <w:tcPr>
            <w:tcW w:w="480" w:type="dxa"/>
            <w:vMerge w:val="restart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招聘计划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面向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lang w:eastAsia="zh-CN"/>
              </w:rPr>
              <w:t>范围</w:t>
            </w:r>
          </w:p>
        </w:tc>
        <w:tc>
          <w:tcPr>
            <w:tcW w:w="5520" w:type="dxa"/>
            <w:gridSpan w:val="4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tblHeader/>
        </w:trPr>
        <w:tc>
          <w:tcPr>
            <w:tcW w:w="616" w:type="dxa"/>
            <w:vMerge w:val="continue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480" w:type="dxa"/>
            <w:vMerge w:val="continue"/>
            <w:noWrap w:val="0"/>
            <w:vAlign w:val="center"/>
          </w:tcPr>
          <w:p>
            <w:pPr>
              <w:pStyle w:val="4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0" w:type="dxa"/>
            <w:vMerge w:val="continue"/>
            <w:noWrap w:val="0"/>
            <w:vAlign w:val="center"/>
          </w:tcPr>
          <w:p>
            <w:pPr>
              <w:pStyle w:val="4"/>
              <w:spacing w:line="280" w:lineRule="exact"/>
              <w:ind w:firstLine="0" w:firstLineChars="0"/>
              <w:jc w:val="center"/>
              <w:rPr>
                <w:rFonts w:hint="eastAsia" w:ascii="宋体" w:hAnsi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学历要求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exact"/>
        </w:trPr>
        <w:tc>
          <w:tcPr>
            <w:tcW w:w="616" w:type="dxa"/>
            <w:vMerge w:val="restart"/>
            <w:noWrap w:val="0"/>
            <w:vAlign w:val="center"/>
          </w:tcPr>
          <w:p>
            <w:pPr>
              <w:pStyle w:val="4"/>
              <w:tabs>
                <w:tab w:val="left" w:pos="281"/>
              </w:tabs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邵东市警务保障服务中心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A01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法医A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法医学、基础医学、临床医学、麻醉学、医学影像学、眼视光医学、精神医学、放射医学、口腔医学、预防医学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需值夜班，勘验尸体现场、搬运解剖尸体，适合男性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exact"/>
        </w:trPr>
        <w:tc>
          <w:tcPr>
            <w:tcW w:w="616" w:type="dxa"/>
            <w:vMerge w:val="continue"/>
            <w:noWrap w:val="0"/>
            <w:vAlign w:val="center"/>
          </w:tcPr>
          <w:p>
            <w:pPr>
              <w:pStyle w:val="4"/>
              <w:tabs>
                <w:tab w:val="left" w:pos="281"/>
              </w:tabs>
              <w:spacing w:line="280" w:lineRule="exact"/>
              <w:ind w:firstLine="0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B01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法医B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面向高校毕业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616" w:type="dxa"/>
            <w:vMerge w:val="continue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A0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痕迹检验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刑事科学技术、物理学、应用化学、化学生物学、应用统计学、理论与应用力学、材料物理、材料化学、电子科学与技术、智能科学与技术、武器发射工程、弹药工程与爆炸技术、刑事侦查技术、司法鉴定技术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需值夜班，进行现场勘查，适合男性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616" w:type="dxa"/>
            <w:vMerge w:val="continue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B02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痕迹检验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面向高校毕业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616" w:type="dxa"/>
            <w:vMerge w:val="continue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A03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计算机人员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电子、通信、计算机类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616" w:type="dxa"/>
            <w:vMerge w:val="continue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A04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会计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会计、会计学、审计学、财务管理、会计电算化、财务电算化专业、金融管理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616" w:type="dxa"/>
            <w:vMerge w:val="continue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pStyle w:val="4"/>
              <w:spacing w:line="280" w:lineRule="exact"/>
              <w:ind w:firstLine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A05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0"/>
                <w:szCs w:val="20"/>
                <w:lang w:val="en-US" w:eastAsia="zh-CN" w:bidi="ar-SA"/>
              </w:rPr>
              <w:t>文字 综合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中国语言文学类、新闻传播学类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1、</w:t>
      </w:r>
      <w:r>
        <w:rPr>
          <w:rFonts w:hint="eastAsia"/>
        </w:rPr>
        <w:t>本岗位表中招聘岗位专业参照《20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年湖南省考试录用公务员专业指导目录》。</w:t>
      </w:r>
    </w:p>
    <w:p>
      <w:r>
        <w:rPr>
          <w:rFonts w:hint="eastAsia"/>
          <w:lang w:val="en-US" w:eastAsia="zh-CN"/>
        </w:rPr>
        <w:t>2、</w:t>
      </w:r>
      <w:r>
        <w:rPr>
          <w:rFonts w:hint="eastAsia"/>
        </w:rPr>
        <w:t>本岗位表中</w:t>
      </w:r>
      <w:r>
        <w:rPr>
          <w:rFonts w:hint="eastAsia"/>
          <w:lang w:eastAsia="zh-CN"/>
        </w:rPr>
        <w:t>的</w:t>
      </w:r>
      <w:r>
        <w:rPr>
          <w:rFonts w:hint="eastAsia"/>
          <w:lang w:val="en-US" w:eastAsia="zh-CN"/>
        </w:rPr>
        <w:t>高校毕业生是指2021届高校毕业生，以及2019、2020届尚未落实工作单位的高校毕业生。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52290"/>
    <w:rsid w:val="09E522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2021-02-09T02:03:00Z</dcterms:created>
  <dc:creator>z.m.</dc:creator>
  <cp:lastModifiedBy>z.m.</cp:lastModifiedBy>
  <dcterms:modified xsi:type="dcterms:W3CDTF">2021-02-09T02:04:52Z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