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附件4</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宁夏回族自治区2021年度考试录用公务员</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公共科目考试大纲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为便于报考者充分了解</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宁夏回族自治区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年度考试录用公务员公共科目笔试，特制定本大纲。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一、笔试内容</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宁夏回族自治区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年度考试录用公务员公共科目笔试分为行政职业能力测验和申论两科，主要测查从事公务员工作应当具备的基本能力和基本素质，特别是用习近平新时代中国特色社会主义思想指导</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分析和</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解决问题的能力。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公共科目笔试全部采用闭卷考试的方式。其中，行政职业能力测验为客观性试题，考试时限</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120</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分钟</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，满分</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150分；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申论为主观性试题，考试时限</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5</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0</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分钟</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，满分</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150分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二、行政职业能力测验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行政职业能力测验主要包括常识判断、言语理解与表达、数量关系、判断推理和资料分析等</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内容</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常识判断</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主要测查报考者在政治、经济、文化、科技等方面应知应会的基本知识以及运用这些知识进行分析判断的基本能力。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例题：某城市空气质量较差，检测结果显示，在主要污染物中，</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PM10</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颗粒浓度严重超标，</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PM2.5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颗粒浓度及有害气体浓度尚在正常范围。如果你是城市决策者，采取以下哪些措施能在影响最小的情况下，最有效地改善空气质量？</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①整改郊区水泥厂</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②整改郊区造纸厂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③市区车辆限号行驶</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④改善郊区植被环境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．①②</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．①④</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．③④</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．②③</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水泥厂在生产过程中会产生大量的烟尘等可吸入颗粒物，符合题意；②造纸厂在生产过程中产生的主要污染是水污染和重金属污染，不符合题意；③汽车尾气排放是产生可吸入颗粒物的主要来源之一，但是题干中说</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PM2.5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颗粒浓度及有害气体浓度尚在正常范围，所以尾气并不是造成空气污染的主要原因，不符合题意；④植被有吸附各种污染物的功能，所以改善植被环境符合题意。因此，正确答案为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言语理解与表达</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文段最后一句话中的“这”指的是：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．自然共同体意识的树立</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．对自然共同体的义务</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．热爱自然的感情</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．重建人与自然关系的愿望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首句指出环境保护主义“是一种重建人与自然关系的强烈愿望”，次句说明“要实现这一愿望，就必须树立一种自然共同体的意识”，第三句说明“只有树立了这样的一种道德意识”的重要意义，最后归结到“这不仅依赖</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，也依赖</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”，即实现这种意识的条件。因此，可知“这”指的是“自然共同体意识的树立”，正确答案为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：脱贫攻坚必须</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，一步一个脚印，确保各项扶贫政策措施落到实处，积小胜为大胜，最终取得全面胜利。同时也应加强贫困村基层组织建设，充分调动贫困群众的积极性，提高其参与度、获得感，激励其</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，激发其脱贫的内生动力与活力。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依次填入画横线部分最恰当的一项是：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．未雨绸缪</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一马当先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．一鼓作气</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奋发图强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25"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．循序渐进</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再接再厉</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．稳扎稳打</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自力更生</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。第一空根据后文“一步一个脚印”“落到实处”，说明此空应表达出脚踏实地之意。第二空根据后文“激发其脱贫的内生动力与活力”，强调的是“内生”。因此，应该填入“稳扎稳打</w:t>
      </w:r>
      <w:r>
        <w:rPr>
          <w:rFonts w:hint="default" w:ascii="Times New Roman" w:hAnsi="Times New Roman" w:eastAsia="微软雅黑" w:cs="Times New Roman"/>
          <w:i w:val="0"/>
          <w:caps w:val="0"/>
          <w:color w:val="000000" w:themeColor="text1"/>
          <w:spacing w:val="0"/>
          <w:sz w:val="18"/>
          <w:szCs w:val="18"/>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自力更生”，正确答案为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数量关系</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主要测查报考者理解、把握事物间量化关系和解决数量关系问题的能力，主要涉及数据关系的分析、推理、判断、运算等。常用题型有数字推理和数学运算两种。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数字推理：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1   2   4   8   16  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16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24    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32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36</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。原数列是一个等比数列，后一项是前一项的</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倍，故正确答案为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数学运算：</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每道题给出一个算术式子或者表达数量关系的一段文字，要求报考者熟练运用加、减、乘、除等基本运算法则，并利用其他基本数学知识计算或推出结果。</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例题：某单位的会议室有</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排共</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40</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个座位，每排座位数相同。小张和小李随机入座，则他们坐在同一排的概率：</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．不高于</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15%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．高于</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但低于</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．正好为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．高于</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。根据题意可知，小张随机选一个位置就坐，那么小李可以选择的位置为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个，因此总情况数</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=40</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。要让他们恰好坐在同一排，应先从</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排中选一排，再从这一排中选</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个座位，符合条件的情况数</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8</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，因此概率约为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7/39=17.9%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。因此，正确答案为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判断推理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主要测查报考者对各种事物关系的分析推理能力，主要涉及对图形、语词概念、事物关系和文字材料的理解、比较、组合、演绎和归纳等。常用题型有图形推理、定义判断、类比推理、逻辑判断四种。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图形推理：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每道题给出一套或两套图形，要求报考者通过观察分析找出图形排列的规律，选出符合规律的一项。</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例题：把下面的六个图形分为两类，使每一类图形都有各自的共同特征或规律，分类正确的一项是：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55" w:lineRule="atLeast"/>
        <w:ind w:firstLine="310" w:firstLineChars="100"/>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①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xml:space="preserve">    </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②</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③</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④</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⑤</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eastAsia" w:ascii="Times New Roman" w:hAnsi="Times New Roman" w:eastAsia="微软雅黑"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18"/>
          <w:szCs w:val="18"/>
          <w:shd w:val="clear" w:fill="FFFFFF"/>
          <w14:textFill>
            <w14:solidFill>
              <w14:schemeClr w14:val="tx1"/>
            </w14:solidFill>
          </w14:textFill>
        </w:rPr>
        <w:drawing>
          <wp:anchor distT="0" distB="0" distL="114300" distR="114300" simplePos="0" relativeHeight="251658240" behindDoc="0" locked="0" layoutInCell="1" allowOverlap="1">
            <wp:simplePos x="0" y="0"/>
            <wp:positionH relativeFrom="column">
              <wp:posOffset>-97155</wp:posOffset>
            </wp:positionH>
            <wp:positionV relativeFrom="paragraph">
              <wp:posOffset>120650</wp:posOffset>
            </wp:positionV>
            <wp:extent cx="5704840" cy="797560"/>
            <wp:effectExtent l="0" t="0" r="10160" b="0"/>
            <wp:wrapTopAndBottom/>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704840" cy="797560"/>
                    </a:xfrm>
                    <a:prstGeom prst="rect">
                      <a:avLst/>
                    </a:prstGeom>
                    <a:noFill/>
                    <a:ln w="9525">
                      <a:noFill/>
                    </a:ln>
                  </pic:spPr>
                </pic:pic>
              </a:graphicData>
            </a:graphic>
          </wp:anchor>
        </w:drawing>
      </w:r>
      <w:r>
        <w:rPr>
          <w:rFonts w:hint="default" w:ascii="Times New Roman" w:hAnsi="Times New Roman" w:eastAsia="微软雅黑" w:cs="Times New Roman"/>
          <w:i w:val="0"/>
          <w:caps w:val="0"/>
          <w:color w:val="000000" w:themeColor="text1"/>
          <w:spacing w:val="0"/>
          <w:sz w:val="18"/>
          <w:szCs w:val="18"/>
          <w:shd w:val="clear" w:fill="FFFFFF"/>
          <w:lang w:val="en-US" w:eastAsia="zh-CN"/>
          <w14:textFill>
            <w14:solidFill>
              <w14:schemeClr w14:val="tx1"/>
            </w14:solidFill>
          </w14:textFill>
        </w:rPr>
        <w:t xml:space="preserve">       </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．①②⑥，③④⑤</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．①③④，②⑤⑥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．①④⑤，②③⑥</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．①④⑥，②③⑤</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。题干中每个图形中都有多个封闭图形和线段，考虑二者之间的位置关系。正确答案为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定义判断：</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每道题先对相关概念进行定义，然后分别列出四种情况，要求报考者严格依据定义选出一个最符合或最不符合该定义的答案。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根据上述定义，下列选项中应添加“批复”的是：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10"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．《国务院办公厅关于进一步加强资本市场中小投资者合法权益保护工作的</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10"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．《国务院办公厅关于黑龙江双鸭山经济开发区升级为国家级经济技术开发区的</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10"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．《国务院关于同意设立陕西西咸新区的</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1110"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．《国务院关于在我国统一实行法定计量单位的</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____</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。根据题干，“批复”的定义要点是：答复下级机关请示事项。</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选项中，同意设立陕西西咸新区，属于答复下级机关请示，符合定义。因此，正确答案为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类比推理：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给出一组相关的词，要求通过观察分析，在备选答案中找出一组与之在逻辑关系上最为贴近或相似的词。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例题：设计</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发放</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问卷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．复制</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修改</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文字</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．预习</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复习</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考试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．播放</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快进</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磁带</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．制定</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执行</w:t>
      </w:r>
      <w:r>
        <w:rPr>
          <w:rFonts w:hint="default" w:ascii="Times New Roman" w:hAnsi="Times New Roman" w:eastAsia="宋体"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政策</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。“设计”和“发放”是问卷实施过程中必然经历的两个步骤，顺序是先设计，后发放。</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选项，“制定”“执行”是政策实行过程中必然经历的两个步骤，并且制定在前，执行在后，与题干逻辑关系一致，</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选项中的词语不具备题干中的逻辑关系。因此，正确答案为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逻辑判断：</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每道题给出一段陈述，这段陈述被假设是正确的，不容置疑的。要求报考者根据这段陈述，运用一定的逻辑推论，选择一个最恰当的答案。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例题：扶贫必扶智。让贫困地区的孩子们接受良好教育，是扶贫开发的重要任务，也是阻断贫困代际传递的重要途径。</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以上观点的前提是：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．贫困的代际传递导致教育的落后</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．知识改变命运，教育成就财富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．扶贫工作难，扶智工作更难</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．富有阶层大都受过良好教育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选项指出“教育成就财富”，从而也就可以阻断贫困的代际传递。因此，正确答案为</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资料分析</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主要测查报考者对文字、数字、图表等统计性资料的综合理解与分析加工能力。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48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例题：某市</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2015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年全年粮食总产量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4.16</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万吨，同比下降</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2.3%</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；甘蔗产量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0.57</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万吨，下降</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23.6%</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；油料产量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0.12</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万吨，增长</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32.4%</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；蔬菜产量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15.79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万吨，下降</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3.4%</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；水果产量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7.84</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万吨，增长</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7.4%</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      </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全年水产品产量</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29.16</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万吨，同比增长</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3.6%</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。其中海洋捕捞</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1.09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万吨，与上年持平；海水养殖</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6.07</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万吨，增长</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89.5%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；淡水捕捞</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0.18</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万吨，增长</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1.1%</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；淡水养殖</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21.81</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万吨，下降</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7.9%</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18"/>
          <w:szCs w:val="18"/>
          <w:shd w:val="clear" w:fill="FFFFFF"/>
          <w14:textFill>
            <w14:solidFill>
              <w14:schemeClr w14:val="tx1"/>
            </w14:solidFill>
          </w14:textFill>
        </w:rPr>
        <w:drawing>
          <wp:anchor distT="0" distB="0" distL="114300" distR="114300" simplePos="0" relativeHeight="251659264" behindDoc="0" locked="0" layoutInCell="1" allowOverlap="1">
            <wp:simplePos x="0" y="0"/>
            <wp:positionH relativeFrom="column">
              <wp:posOffset>15875</wp:posOffset>
            </wp:positionH>
            <wp:positionV relativeFrom="paragraph">
              <wp:posOffset>221615</wp:posOffset>
            </wp:positionV>
            <wp:extent cx="5603875" cy="2585085"/>
            <wp:effectExtent l="0" t="0" r="15875" b="5715"/>
            <wp:wrapSquare wrapText="bothSides"/>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5603875" cy="2585085"/>
                    </a:xfrm>
                    <a:prstGeom prst="rect">
                      <a:avLst/>
                    </a:prstGeom>
                    <a:noFill/>
                    <a:ln w="9525">
                      <a:noFill/>
                    </a:ln>
                  </pic:spPr>
                </pic:pic>
              </a:graphicData>
            </a:graphic>
          </wp:anchor>
        </w:drawing>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2010</w:t>
      </w:r>
      <w:r>
        <w:rPr>
          <w:rFonts w:hint="default" w:ascii="Times New Roman" w:hAnsi="Times New Roman" w:eastAsia="幼圆"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2015</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年某市粮食产量及其增速</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2014</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年该市蔬菜产量比水果产量约高多少万吨？</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6                                      B</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7</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C</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8                                      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9</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D</w:t>
      </w:r>
      <w:r>
        <w:rPr>
          <w:rFonts w:hint="default" w:ascii="Times New Roman" w:hAnsi="Times New Roman" w:eastAsia="楷体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bookmarkStart w:id="0" w:name="_GoBack"/>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三、申论</w:t>
      </w:r>
    </w:p>
    <w:bookmarkEnd w:id="0"/>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申论试卷由注意事项、给定资料和作答要求三部分组成。</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本次招考</w:t>
      </w:r>
      <w:r>
        <w:rPr>
          <w:rFonts w:hint="eastAsia" w:ascii="Times New Roman" w:hAnsi="Times New Roman" w:eastAsia="仿宋_GB2312"/>
          <w:color w:val="000000"/>
          <w:sz w:val="32"/>
          <w:szCs w:val="32"/>
          <w:shd w:val="clear" w:color="auto" w:fill="FFFFFF"/>
          <w:lang w:eastAsia="zh-CN"/>
        </w:rPr>
        <w:t>申论试卷分类分级命制，</w:t>
      </w:r>
      <w:r>
        <w:rPr>
          <w:rFonts w:hint="eastAsia" w:ascii="Times New Roman" w:hAnsi="Times New Roman" w:eastAsia="仿宋_GB2312"/>
          <w:color w:val="000000"/>
          <w:sz w:val="32"/>
          <w:szCs w:val="32"/>
          <w:shd w:val="clear" w:color="auto" w:fill="FFFFFF"/>
        </w:rPr>
        <w:t>自治区</w:t>
      </w:r>
      <w:r>
        <w:rPr>
          <w:rFonts w:hint="eastAsia" w:ascii="Times New Roman" w:hAnsi="Times New Roman" w:eastAsia="仿宋_GB2312"/>
          <w:color w:val="000000"/>
          <w:sz w:val="32"/>
          <w:szCs w:val="32"/>
          <w:shd w:val="clear" w:color="auto" w:fill="FFFFFF"/>
          <w:lang w:eastAsia="zh-CN"/>
        </w:rPr>
        <w:t>、市、县（区）</w:t>
      </w:r>
      <w:r>
        <w:rPr>
          <w:rFonts w:hint="eastAsia" w:ascii="Times New Roman" w:hAnsi="Times New Roman" w:eastAsia="仿宋_GB2312"/>
          <w:color w:val="000000"/>
          <w:sz w:val="32"/>
          <w:szCs w:val="32"/>
          <w:shd w:val="clear" w:color="auto" w:fill="FFFFFF"/>
        </w:rPr>
        <w:t>级</w:t>
      </w:r>
      <w:r>
        <w:rPr>
          <w:rFonts w:hint="eastAsia" w:ascii="Times New Roman" w:hAnsi="Times New Roman" w:eastAsia="仿宋_GB2312"/>
          <w:color w:val="000000"/>
          <w:sz w:val="32"/>
          <w:szCs w:val="32"/>
          <w:shd w:val="clear" w:color="auto" w:fill="FFFFFF"/>
          <w:lang w:eastAsia="zh-CN"/>
        </w:rPr>
        <w:t>综合管理类职位使用</w:t>
      </w:r>
      <w:r>
        <w:rPr>
          <w:rFonts w:hint="eastAsia" w:ascii="Times New Roman" w:hAnsi="Times New Roman" w:eastAsia="仿宋_GB2312"/>
          <w:color w:val="000000"/>
          <w:sz w:val="32"/>
          <w:szCs w:val="32"/>
          <w:shd w:val="clear" w:color="auto" w:fill="FFFFFF"/>
          <w:lang w:val="en-US" w:eastAsia="zh-CN"/>
        </w:rPr>
        <w:t>A卷</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乡镇</w:t>
      </w:r>
      <w:r>
        <w:rPr>
          <w:rFonts w:hint="eastAsia" w:ascii="Times New Roman" w:hAnsi="Times New Roman" w:eastAsia="仿宋_GB2312"/>
          <w:color w:val="000000"/>
          <w:sz w:val="32"/>
          <w:szCs w:val="32"/>
          <w:shd w:val="clear" w:color="auto" w:fill="FFFFFF"/>
          <w:lang w:eastAsia="zh-CN"/>
        </w:rPr>
        <w:t>（街道）</w:t>
      </w:r>
      <w:r>
        <w:rPr>
          <w:rFonts w:hint="eastAsia" w:ascii="Times New Roman" w:hAnsi="Times New Roman" w:eastAsia="仿宋_GB2312"/>
          <w:color w:val="000000"/>
          <w:sz w:val="32"/>
          <w:szCs w:val="32"/>
          <w:shd w:val="clear" w:color="auto" w:fill="FFFFFF"/>
        </w:rPr>
        <w:t>级</w:t>
      </w:r>
      <w:r>
        <w:rPr>
          <w:rFonts w:hint="eastAsia" w:ascii="Times New Roman" w:hAnsi="Times New Roman" w:eastAsia="仿宋_GB2312"/>
          <w:color w:val="000000"/>
          <w:sz w:val="32"/>
          <w:szCs w:val="32"/>
          <w:shd w:val="clear" w:color="auto" w:fill="FFFFFF"/>
          <w:lang w:eastAsia="zh-CN"/>
        </w:rPr>
        <w:t>综合管理类</w:t>
      </w:r>
      <w:r>
        <w:rPr>
          <w:rFonts w:hint="eastAsia" w:ascii="Times New Roman" w:hAnsi="Times New Roman" w:eastAsia="仿宋_GB2312"/>
          <w:color w:val="000000"/>
          <w:sz w:val="32"/>
          <w:szCs w:val="32"/>
          <w:shd w:val="clear" w:color="auto" w:fill="FFFFFF"/>
        </w:rPr>
        <w:t>职位</w:t>
      </w:r>
      <w:r>
        <w:rPr>
          <w:rFonts w:hint="eastAsia" w:ascii="Times New Roman" w:hAnsi="Times New Roman" w:eastAsia="仿宋_GB2312"/>
          <w:color w:val="000000"/>
          <w:sz w:val="32"/>
          <w:szCs w:val="32"/>
          <w:shd w:val="clear" w:color="auto" w:fill="FFFFFF"/>
          <w:lang w:eastAsia="zh-CN"/>
        </w:rPr>
        <w:t>使用</w:t>
      </w:r>
      <w:r>
        <w:rPr>
          <w:rFonts w:hint="eastAsia" w:ascii="Times New Roman" w:hAnsi="Times New Roman" w:eastAsia="仿宋_GB2312"/>
          <w:color w:val="000000"/>
          <w:sz w:val="32"/>
          <w:szCs w:val="32"/>
          <w:shd w:val="clear" w:color="auto" w:fill="FFFFFF"/>
          <w:lang w:val="en-US" w:eastAsia="zh-CN"/>
        </w:rPr>
        <w:t>B卷，</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全区公安机关执法勤务类职位、地级市以下市场监督管理部门行政执法类职位</w:t>
      </w:r>
      <w:r>
        <w:rPr>
          <w:rFonts w:hint="eastAsia" w:ascii="Times New Roman" w:hAnsi="Times New Roman" w:eastAsia="仿宋_GB2312"/>
          <w:color w:val="000000"/>
          <w:sz w:val="32"/>
          <w:szCs w:val="32"/>
          <w:shd w:val="clear" w:color="auto" w:fill="FFFFFF"/>
          <w:lang w:eastAsia="zh-CN"/>
        </w:rPr>
        <w:t>使用</w:t>
      </w:r>
      <w:r>
        <w:rPr>
          <w:rFonts w:hint="eastAsia" w:ascii="Times New Roman" w:hAnsi="Times New Roman" w:eastAsia="仿宋_GB2312"/>
          <w:color w:val="000000"/>
          <w:sz w:val="32"/>
          <w:szCs w:val="32"/>
          <w:shd w:val="clear" w:color="auto" w:fill="FFFFFF"/>
          <w:lang w:val="en-US" w:eastAsia="zh-CN"/>
        </w:rPr>
        <w:t>C卷。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（一）综合管理类职位申论考试主要测查报考者的</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阅读理解能力、综合分析能力、</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贯彻执行能力、</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解决问题能力</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和</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文字表达能力</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w:t>
      </w:r>
    </w:p>
    <w:p>
      <w:pPr>
        <w:widowControl/>
        <w:shd w:val="clear" w:color="auto" w:fill="FFFFFF"/>
        <w:spacing w:line="560" w:lineRule="exact"/>
        <w:ind w:firstLine="643" w:firstLineChars="200"/>
        <w:jc w:val="left"/>
        <w:rPr>
          <w:rFonts w:hint="eastAsia" w:ascii="仿宋_GB2312" w:hAnsi="仿宋_GB2312" w:eastAsia="仿宋_GB2312" w:cs="仿宋_GB2312"/>
          <w:color w:val="000000"/>
          <w:kern w:val="0"/>
          <w:sz w:val="32"/>
          <w:szCs w:val="32"/>
        </w:rPr>
      </w:pP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阅读理解能力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kern w:val="0"/>
          <w:sz w:val="32"/>
          <w:szCs w:val="32"/>
        </w:rPr>
        <w:t>准</w:t>
      </w:r>
      <w:r>
        <w:rPr>
          <w:rFonts w:hint="eastAsia" w:ascii="仿宋_GB2312" w:hAnsi="仿宋_GB2312" w:eastAsia="仿宋_GB2312" w:cs="仿宋_GB2312"/>
          <w:sz w:val="32"/>
          <w:szCs w:val="32"/>
        </w:rPr>
        <w:t>确</w:t>
      </w:r>
      <w:r>
        <w:rPr>
          <w:rFonts w:hint="eastAsia" w:ascii="仿宋_GB2312" w:hAnsi="仿宋_GB2312" w:eastAsia="仿宋_GB2312" w:cs="仿宋_GB2312"/>
          <w:color w:val="000000"/>
          <w:sz w:val="32"/>
          <w:szCs w:val="32"/>
        </w:rPr>
        <w:t>理解归纳给定资料的主要内容，对所涉及的观点和事实进行恰当的解释，并</w:t>
      </w:r>
      <w:r>
        <w:rPr>
          <w:rFonts w:hint="eastAsia" w:ascii="仿宋_GB2312" w:hAnsi="仿宋_GB2312" w:eastAsia="仿宋_GB2312" w:cs="仿宋_GB2312"/>
          <w:sz w:val="32"/>
          <w:szCs w:val="32"/>
        </w:rPr>
        <w:t>作出合理的推断</w:t>
      </w:r>
      <w:r>
        <w:rPr>
          <w:rFonts w:hint="eastAsia" w:ascii="仿宋_GB2312" w:hAnsi="仿宋_GB2312" w:eastAsia="仿宋_GB2312" w:cs="仿宋_GB2312"/>
          <w:color w:val="000000"/>
          <w:sz w:val="32"/>
          <w:szCs w:val="32"/>
        </w:rPr>
        <w:t>。</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综合分析能力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对给定资料的全部或部分的内容、观点或问题进行分析和归纳，多角度地思考资料内容，作出合理的推断或评价。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Style w:val="6"/>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贯彻执行</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能够理解工作目标和组织意图，遵循依法行政的原则，根据客观实际情况，及时有效地完成任务。</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解决问题能力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对给定资料反映的问题进行分析</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并</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提出解决问题的措施或办法。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文字表达能力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sz w:val="32"/>
          <w:szCs w:val="32"/>
        </w:rPr>
        <w:t>熟练使用指定的语种，对事件、观点进行准确合理的说明、陈述或阐释。</w:t>
      </w:r>
    </w:p>
    <w:p>
      <w:pPr>
        <w:pStyle w:val="4"/>
        <w:keepNext w:val="0"/>
        <w:keepLines w:val="0"/>
        <w:pageBreakBefore w:val="0"/>
        <w:widowControl w:val="0"/>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）公安机关执法勤务类职位、地级市以下市场监督管理部门行政执法类职位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主要测查</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报考者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的阅读理解能力、依法办事能力、公共服务能力和文字表达能力。</w:t>
      </w:r>
    </w:p>
    <w:p>
      <w:pPr>
        <w:widowControl/>
        <w:shd w:val="clear" w:color="auto" w:fill="FFFFFF"/>
        <w:spacing w:line="560" w:lineRule="exact"/>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阅读理解能力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kern w:val="0"/>
          <w:sz w:val="32"/>
          <w:szCs w:val="32"/>
        </w:rPr>
        <w:t>准</w:t>
      </w:r>
      <w:r>
        <w:rPr>
          <w:rFonts w:hint="eastAsia" w:ascii="仿宋_GB2312" w:hAnsi="仿宋_GB2312" w:eastAsia="仿宋_GB2312" w:cs="仿宋_GB2312"/>
          <w:sz w:val="32"/>
          <w:szCs w:val="32"/>
        </w:rPr>
        <w:t>确</w:t>
      </w:r>
      <w:r>
        <w:rPr>
          <w:rFonts w:hint="eastAsia" w:ascii="仿宋_GB2312" w:hAnsi="仿宋_GB2312" w:eastAsia="仿宋_GB2312" w:cs="仿宋_GB2312"/>
          <w:color w:val="000000"/>
          <w:sz w:val="32"/>
          <w:szCs w:val="32"/>
        </w:rPr>
        <w:t>理解归纳给定资料的主要内容，对所涉及的观点和事实进行恰当的解释，并</w:t>
      </w:r>
      <w:r>
        <w:rPr>
          <w:rFonts w:hint="eastAsia" w:ascii="仿宋_GB2312" w:hAnsi="仿宋_GB2312" w:eastAsia="仿宋_GB2312" w:cs="仿宋_GB2312"/>
          <w:sz w:val="32"/>
          <w:szCs w:val="32"/>
        </w:rPr>
        <w:t>作出合理的推断</w:t>
      </w:r>
      <w:r>
        <w:rPr>
          <w:rFonts w:hint="eastAsia" w:ascii="仿宋_GB2312" w:hAnsi="仿宋_GB2312" w:eastAsia="仿宋_GB2312" w:cs="仿宋_GB2312"/>
          <w:color w:val="00000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依法办事能力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kern w:val="0"/>
          <w:sz w:val="32"/>
          <w:szCs w:val="32"/>
        </w:rPr>
        <w:t>结合执法一线工作实际，遵循依法行政的原则，综合</w:t>
      </w:r>
      <w:r>
        <w:rPr>
          <w:rFonts w:hint="eastAsia" w:ascii="仿宋_GB2312" w:hAnsi="仿宋_GB2312" w:eastAsia="仿宋_GB2312" w:cs="仿宋_GB2312"/>
          <w:color w:val="000000"/>
          <w:sz w:val="32"/>
          <w:szCs w:val="32"/>
        </w:rPr>
        <w:t>运用恰当有效的方法完成任务、解决问题、实现目标。</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公共服务能力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sz w:val="32"/>
          <w:szCs w:val="32"/>
        </w:rPr>
        <w:t>能够全面准确了解公众需求和愿望，灵活运用各种措施和办法为公众提供优质、高效、便捷的服务。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文字表达能力</w:t>
      </w:r>
      <w:r>
        <w:rPr>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sz w:val="32"/>
          <w:szCs w:val="32"/>
        </w:rPr>
        <w:t>熟练使用指定的语种，对事件、观点进行准确合理的说明、陈述或阐释。</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四、作答要求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（一）行政职业能力测验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报考者务必携带的考试文具包括</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黑色字迹的钢笔或签字笔、</w:t>
      </w:r>
      <w:r>
        <w:rPr>
          <w:rStyle w:val="6"/>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2B</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铅笔和橡皮</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。报考者必须用</w:t>
      </w:r>
      <w:r>
        <w:rPr>
          <w:rStyle w:val="6"/>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2B</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铅笔</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在指定位置上填涂准考证号，并在</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答题卡</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上作答。在试题本或其他位置作答一律无效。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（二）申论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Times New Roman" w:hAnsi="Times New Roman" w:eastAsia="微软雅黑"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报考者务必携带的考试文具包括</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黑色字迹的钢笔或签字笔、</w:t>
      </w:r>
      <w:r>
        <w:rPr>
          <w:rStyle w:val="6"/>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2B</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铅笔和橡皮</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。报考者必须用</w:t>
      </w:r>
      <w:r>
        <w:rPr>
          <w:rStyle w:val="6"/>
          <w:rFonts w:hint="default" w:ascii="Times New Roman" w:hAnsi="Times New Roman" w:eastAsia="微软雅黑" w:cs="Times New Roman"/>
          <w:i w:val="0"/>
          <w:caps w:val="0"/>
          <w:color w:val="000000" w:themeColor="text1"/>
          <w:spacing w:val="0"/>
          <w:sz w:val="32"/>
          <w:szCs w:val="32"/>
          <w:shd w:val="clear" w:fill="FFFFFF"/>
          <w14:textFill>
            <w14:solidFill>
              <w14:schemeClr w14:val="tx1"/>
            </w14:solidFill>
          </w14:textFill>
        </w:rPr>
        <w:t>2B</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铅笔</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在指定位置上填涂准考证号，用</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钢笔或签字笔</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在</w:t>
      </w:r>
      <w:r>
        <w:rPr>
          <w:rStyle w:val="6"/>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答题卡</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指定位置上作答。在非指定位置作答或用铅笔作答一律无效。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p>
    <w:sectPr>
      <w:footerReference r:id="rId3" w:type="default"/>
      <w:pgSz w:w="11906" w:h="16838"/>
      <w:pgMar w:top="1984"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2B68"/>
    <w:rsid w:val="024E2AFA"/>
    <w:rsid w:val="025A5E5F"/>
    <w:rsid w:val="03716348"/>
    <w:rsid w:val="04FD6751"/>
    <w:rsid w:val="09FC686E"/>
    <w:rsid w:val="0F3C39A6"/>
    <w:rsid w:val="0F476AAE"/>
    <w:rsid w:val="0FC1328C"/>
    <w:rsid w:val="0FF17534"/>
    <w:rsid w:val="1020686B"/>
    <w:rsid w:val="10B82BEE"/>
    <w:rsid w:val="1311690B"/>
    <w:rsid w:val="154F327E"/>
    <w:rsid w:val="159C5DCE"/>
    <w:rsid w:val="16675B6E"/>
    <w:rsid w:val="18912965"/>
    <w:rsid w:val="18CF3ABC"/>
    <w:rsid w:val="19157C2D"/>
    <w:rsid w:val="1C03606E"/>
    <w:rsid w:val="1C417292"/>
    <w:rsid w:val="1CC801E8"/>
    <w:rsid w:val="1DE03C8B"/>
    <w:rsid w:val="1E7A587F"/>
    <w:rsid w:val="1F512DE9"/>
    <w:rsid w:val="1F65495C"/>
    <w:rsid w:val="20B0120C"/>
    <w:rsid w:val="22A1400D"/>
    <w:rsid w:val="242E5520"/>
    <w:rsid w:val="24376676"/>
    <w:rsid w:val="248D6AEB"/>
    <w:rsid w:val="24E23B37"/>
    <w:rsid w:val="24F17786"/>
    <w:rsid w:val="25702CF0"/>
    <w:rsid w:val="264A11A3"/>
    <w:rsid w:val="28425A0F"/>
    <w:rsid w:val="29923F1C"/>
    <w:rsid w:val="29DB2579"/>
    <w:rsid w:val="2C021CB6"/>
    <w:rsid w:val="2E07133C"/>
    <w:rsid w:val="2E0A61F2"/>
    <w:rsid w:val="2E281DF2"/>
    <w:rsid w:val="30CF49B9"/>
    <w:rsid w:val="3186419E"/>
    <w:rsid w:val="32C225DF"/>
    <w:rsid w:val="340258C4"/>
    <w:rsid w:val="350D4E8B"/>
    <w:rsid w:val="36BF54FE"/>
    <w:rsid w:val="38A967DD"/>
    <w:rsid w:val="392046DA"/>
    <w:rsid w:val="3AE719E1"/>
    <w:rsid w:val="3AED5666"/>
    <w:rsid w:val="3E9A4837"/>
    <w:rsid w:val="42D74058"/>
    <w:rsid w:val="43954584"/>
    <w:rsid w:val="44154851"/>
    <w:rsid w:val="45560C7E"/>
    <w:rsid w:val="47ED3003"/>
    <w:rsid w:val="486E2017"/>
    <w:rsid w:val="49C457CA"/>
    <w:rsid w:val="4A9C0A27"/>
    <w:rsid w:val="4BA350B5"/>
    <w:rsid w:val="4C41576C"/>
    <w:rsid w:val="4C4E656C"/>
    <w:rsid w:val="4CA443E4"/>
    <w:rsid w:val="4E591463"/>
    <w:rsid w:val="50737D6A"/>
    <w:rsid w:val="51926CFC"/>
    <w:rsid w:val="56E6651D"/>
    <w:rsid w:val="5A424E7F"/>
    <w:rsid w:val="5AC37F19"/>
    <w:rsid w:val="5B2F1B85"/>
    <w:rsid w:val="5B850373"/>
    <w:rsid w:val="5BAC0CF2"/>
    <w:rsid w:val="5BB71B29"/>
    <w:rsid w:val="5C3D555E"/>
    <w:rsid w:val="5DF516EA"/>
    <w:rsid w:val="5F217AD7"/>
    <w:rsid w:val="5FFB56C3"/>
    <w:rsid w:val="60A11CF1"/>
    <w:rsid w:val="60EB4657"/>
    <w:rsid w:val="62524AE8"/>
    <w:rsid w:val="63BC5F06"/>
    <w:rsid w:val="65A3018B"/>
    <w:rsid w:val="66096F8C"/>
    <w:rsid w:val="66565DD4"/>
    <w:rsid w:val="69317DC7"/>
    <w:rsid w:val="69852E2E"/>
    <w:rsid w:val="6B181FAD"/>
    <w:rsid w:val="6B2A6DA3"/>
    <w:rsid w:val="6B7821DD"/>
    <w:rsid w:val="6BE27A8E"/>
    <w:rsid w:val="6C42076D"/>
    <w:rsid w:val="6FAD1B03"/>
    <w:rsid w:val="709178DA"/>
    <w:rsid w:val="70C2529D"/>
    <w:rsid w:val="73AB591E"/>
    <w:rsid w:val="743B4691"/>
    <w:rsid w:val="74CD3CE2"/>
    <w:rsid w:val="79A37A99"/>
    <w:rsid w:val="7A5233DB"/>
    <w:rsid w:val="7AF7241D"/>
    <w:rsid w:val="7DB66F4E"/>
    <w:rsid w:val="7F2F3289"/>
    <w:rsid w:val="7FAB0869"/>
    <w:rsid w:val="7FC7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2020-03-03T14:29:00Z</dcterms:created>
  <dc:creator>Administrator</dc:creator>
  <cp:lastModifiedBy>Administrator</cp:lastModifiedBy>
  <dcterms:modified xsi:type="dcterms:W3CDTF">2021-02-16T01:58:47Z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