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招聘单位、岗位、人数、专业、学历和范围及资格条件</w:t>
      </w:r>
    </w:p>
    <w:tbl>
      <w:tblPr>
        <w:tblW w:w="906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660"/>
        <w:gridCol w:w="390"/>
        <w:gridCol w:w="2445"/>
        <w:gridCol w:w="1830"/>
        <w:gridCol w:w="765"/>
        <w:gridCol w:w="18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职责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学历（学位）要求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tblCellSpacing w:w="0" w:type="dxa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宁波老年大学管理中心（宁波老干部党校）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工作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负责学校信息宣传工作以及学员政治建设、思想建设和教务管理工作。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新闻学、广播电视学、网络与新媒体专业，本科及以上学历、学士及以上学位。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宁波大市户籍或生源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中共党员（或中共预备党员）且符合下列条件之一：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1.2021届普通高校应届毕业生；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  <w:bdr w:val="none" w:color="auto" w:sz="0" w:space="0"/>
              </w:rPr>
              <w:t>2.历届生，具有学校、教育培训机构教务管理1年及以上工作经历，年龄35周岁以下。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03B27"/>
    <w:rsid w:val="7E70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2021-02-20T04:17:00Z</dcterms:created>
  <dc:creator>Administrator</dc:creator>
  <cp:lastModifiedBy>Administrator</cp:lastModifiedBy>
  <dcterms:modified xsi:type="dcterms:W3CDTF">2021-02-20T08:50:01Z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