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70"/>
          <w:sz w:val="36"/>
          <w:szCs w:val="36"/>
        </w:rPr>
      </w:pPr>
      <w:r>
        <w:rPr>
          <w:rFonts w:hint="eastAsia" w:ascii="宋体" w:hAnsi="宋体"/>
          <w:b/>
          <w:spacing w:val="70"/>
          <w:sz w:val="36"/>
          <w:szCs w:val="36"/>
        </w:rPr>
        <w:t>招聘编制外聘用人员报名表</w:t>
      </w:r>
    </w:p>
    <w:tbl>
      <w:tblPr>
        <w:tblStyle w:val="2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2"/>
        <w:gridCol w:w="240"/>
        <w:gridCol w:w="719"/>
        <w:gridCol w:w="394"/>
        <w:gridCol w:w="137"/>
        <w:gridCol w:w="796"/>
        <w:gridCol w:w="456"/>
        <w:gridCol w:w="927"/>
        <w:gridCol w:w="347"/>
        <w:gridCol w:w="904"/>
        <w:gridCol w:w="423"/>
        <w:gridCol w:w="1188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入　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　间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术职称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有何专长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  <w:p>
            <w:pPr>
              <w:spacing w:line="16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（工作后接受党校教育的在学历前加注“党校在职”）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　　历</w:t>
            </w:r>
          </w:p>
        </w:tc>
        <w:tc>
          <w:tcPr>
            <w:tcW w:w="8592" w:type="dxa"/>
            <w:gridSpan w:val="13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要求：1、起止时间从上初中起至填表时止，工作期间参加学历进修或组织调训的要注明；2、时间衔接要连贯；3、简历中地名或单位前一律冠以省（区）名称如“广西××县”。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92" w:type="dxa"/>
            <w:gridSpan w:val="13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40" w:type="dxa"/>
            <w:gridSpan w:val="11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5" w:type="dxa"/>
            <w:gridSpan w:val="3"/>
            <w:vMerge w:val="restart"/>
            <w:vAlign w:val="center"/>
          </w:tcPr>
          <w:p>
            <w:pPr>
              <w:spacing w:line="2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成员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以及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　谓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rPr>
                <w:rFonts w:ascii="仿宋_GB2312" w:eastAsia="仿宋_GB2312"/>
                <w:spacing w:val="-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2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2021-03-02T02:38:17Z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