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23" w:rsidRDefault="00950923" w:rsidP="00950923">
      <w:pPr>
        <w:pStyle w:val="a3"/>
        <w:spacing w:before="0" w:beforeAutospacing="0" w:after="0" w:afterAutospacing="0" w:line="560" w:lineRule="exac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附件1：</w:t>
      </w:r>
    </w:p>
    <w:p w:rsidR="00950923" w:rsidRDefault="00950923" w:rsidP="00950923">
      <w:pPr>
        <w:pStyle w:val="a3"/>
        <w:spacing w:before="0" w:beforeAutospacing="0" w:after="0" w:afterAutospacing="0"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Hans"/>
        </w:rPr>
        <w:t>长沙市望城区征地拆迁事务所公开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招聘</w:t>
      </w:r>
    </w:p>
    <w:p w:rsidR="00950923" w:rsidRDefault="00950923" w:rsidP="00950923">
      <w:pPr>
        <w:pStyle w:val="a3"/>
        <w:spacing w:before="0" w:beforeAutospacing="0" w:after="0" w:afterAutospacing="0" w:line="560" w:lineRule="exact"/>
        <w:jc w:val="center"/>
        <w:rPr>
          <w:rFonts w:ascii="仿宋" w:eastAsia="黑体" w:hAnsi="仿宋" w:cs="Arial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岗位、计划及职位设置表</w:t>
      </w:r>
    </w:p>
    <w:p w:rsidR="00950923" w:rsidRDefault="00950923" w:rsidP="00950923">
      <w:pPr>
        <w:spacing w:line="140" w:lineRule="atLeast"/>
        <w:jc w:val="center"/>
        <w:rPr>
          <w:rFonts w:ascii="宋体" w:hAnsi="宋体" w:cs="宋体"/>
          <w:b/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4"/>
        <w:gridCol w:w="405"/>
        <w:gridCol w:w="467"/>
        <w:gridCol w:w="1206"/>
        <w:gridCol w:w="2002"/>
        <w:gridCol w:w="3748"/>
      </w:tblGrid>
      <w:tr w:rsidR="00950923" w:rsidTr="00A673A5">
        <w:trPr>
          <w:cantSplit/>
          <w:trHeight w:val="472"/>
          <w:jc w:val="center"/>
        </w:trPr>
        <w:tc>
          <w:tcPr>
            <w:tcW w:w="434" w:type="dxa"/>
            <w:vMerge w:val="restart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eastAsia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序号</w:t>
            </w:r>
          </w:p>
        </w:tc>
        <w:tc>
          <w:tcPr>
            <w:tcW w:w="434" w:type="dxa"/>
            <w:vMerge w:val="restart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职位</w:t>
            </w:r>
          </w:p>
        </w:tc>
        <w:tc>
          <w:tcPr>
            <w:tcW w:w="405" w:type="dxa"/>
            <w:vMerge w:val="restart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计划人数</w:t>
            </w:r>
          </w:p>
        </w:tc>
        <w:tc>
          <w:tcPr>
            <w:tcW w:w="7307" w:type="dxa"/>
            <w:gridSpan w:val="4"/>
            <w:noWrap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职 位 条 件</w:t>
            </w:r>
          </w:p>
        </w:tc>
      </w:tr>
      <w:tr w:rsidR="00950923" w:rsidTr="00A673A5">
        <w:trPr>
          <w:cantSplit/>
          <w:trHeight w:val="538"/>
          <w:jc w:val="center"/>
        </w:trPr>
        <w:tc>
          <w:tcPr>
            <w:tcW w:w="434" w:type="dxa"/>
            <w:vMerge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434" w:type="dxa"/>
            <w:vMerge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年 龄</w:t>
            </w:r>
          </w:p>
        </w:tc>
        <w:tc>
          <w:tcPr>
            <w:tcW w:w="1206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学 历</w:t>
            </w:r>
          </w:p>
        </w:tc>
        <w:tc>
          <w:tcPr>
            <w:tcW w:w="2002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专 业</w:t>
            </w:r>
          </w:p>
        </w:tc>
        <w:tc>
          <w:tcPr>
            <w:tcW w:w="3748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Cs w:val="20"/>
              </w:rPr>
              <w:t>其他条件</w:t>
            </w:r>
          </w:p>
        </w:tc>
      </w:tr>
      <w:tr w:rsidR="00950923" w:rsidTr="00A673A5">
        <w:trPr>
          <w:cantSplit/>
          <w:trHeight w:val="2273"/>
          <w:jc w:val="center"/>
        </w:trPr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1</w:t>
            </w:r>
          </w:p>
        </w:tc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信息化建设</w:t>
            </w:r>
          </w:p>
        </w:tc>
        <w:tc>
          <w:tcPr>
            <w:tcW w:w="405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1</w:t>
            </w:r>
          </w:p>
        </w:tc>
        <w:tc>
          <w:tcPr>
            <w:tcW w:w="467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35周岁以下</w:t>
            </w:r>
          </w:p>
        </w:tc>
        <w:tc>
          <w:tcPr>
            <w:tcW w:w="1206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全日制</w:t>
            </w:r>
          </w:p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本科</w:t>
            </w:r>
          </w:p>
        </w:tc>
        <w:tc>
          <w:tcPr>
            <w:tcW w:w="2002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地理信息科学、地球信息科学与技术、地理信息系统（GIS）相关专业</w:t>
            </w:r>
          </w:p>
        </w:tc>
        <w:tc>
          <w:tcPr>
            <w:tcW w:w="3748" w:type="dxa"/>
            <w:vAlign w:val="center"/>
          </w:tcPr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1、熟悉ArcGIS系列产品的使用，能基于ArcgisServer或Arcenginr进行二次开发工作。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2、掌握GIS空间分析的理论和方法。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3、具有地理信息系统建设工作经历或实习经历（社会实践），优先录取。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4、有良好的团队协作能力及解决问题的能力，有较强的学习能力，口头表达、逻辑思维能力强。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5、男性优先。</w:t>
            </w:r>
          </w:p>
          <w:p w:rsidR="00950923" w:rsidRDefault="00950923" w:rsidP="00A673A5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 w:cs="Arial"/>
                <w:color w:val="000000"/>
                <w:sz w:val="32"/>
                <w:szCs w:val="32"/>
                <w:lang w:eastAsia="zh-Hans"/>
              </w:rPr>
            </w:pPr>
          </w:p>
        </w:tc>
      </w:tr>
      <w:tr w:rsidR="00950923" w:rsidTr="00A673A5">
        <w:trPr>
          <w:cantSplit/>
          <w:trHeight w:val="3508"/>
          <w:jc w:val="center"/>
        </w:trPr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2</w:t>
            </w:r>
          </w:p>
        </w:tc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信息化建设</w:t>
            </w:r>
          </w:p>
        </w:tc>
        <w:tc>
          <w:tcPr>
            <w:tcW w:w="405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1</w:t>
            </w:r>
          </w:p>
        </w:tc>
        <w:tc>
          <w:tcPr>
            <w:tcW w:w="467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35周岁以下</w:t>
            </w:r>
          </w:p>
        </w:tc>
        <w:tc>
          <w:tcPr>
            <w:tcW w:w="1206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全日制</w:t>
            </w:r>
          </w:p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本科</w:t>
            </w:r>
          </w:p>
        </w:tc>
        <w:tc>
          <w:tcPr>
            <w:tcW w:w="2002" w:type="dxa"/>
            <w:vAlign w:val="center"/>
          </w:tcPr>
          <w:p w:rsidR="00950923" w:rsidRDefault="00950923" w:rsidP="00A673A5">
            <w:pPr>
              <w:spacing w:line="140" w:lineRule="atLeast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计算机科学与技术、软件工程及其它计算机相关专业</w:t>
            </w:r>
          </w:p>
        </w:tc>
        <w:tc>
          <w:tcPr>
            <w:tcW w:w="3748" w:type="dxa"/>
            <w:vAlign w:val="center"/>
          </w:tcPr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1、熟练掌握C#开发语言，熟悉HTML、JavaScript、CSS等技术。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2、熟练掌握SqlServer数据库。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3、熟悉各类Windows操作系统、AutoCAD软件、常用办公软件，了解计算机网络的基本配置和使用。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4、有信息系统、移动办公平台、微信平台、网站开发建设经验者优先录取。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5、具有3年以上软件开发工作经验者,学历要求可放宽至大专。</w:t>
            </w:r>
          </w:p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6、有良好的团队协作能力及解决问题的能力，有较强的学习能力，口头表达、逻辑思维能力强。</w:t>
            </w:r>
          </w:p>
        </w:tc>
      </w:tr>
      <w:tr w:rsidR="00950923" w:rsidTr="00A673A5">
        <w:trPr>
          <w:cantSplit/>
          <w:trHeight w:val="1389"/>
          <w:jc w:val="center"/>
        </w:trPr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3</w:t>
            </w:r>
          </w:p>
        </w:tc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 xml:space="preserve">规划专干 </w:t>
            </w:r>
          </w:p>
        </w:tc>
        <w:tc>
          <w:tcPr>
            <w:tcW w:w="405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1</w:t>
            </w:r>
          </w:p>
        </w:tc>
        <w:tc>
          <w:tcPr>
            <w:tcW w:w="467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35周岁以下</w:t>
            </w:r>
          </w:p>
        </w:tc>
        <w:tc>
          <w:tcPr>
            <w:tcW w:w="1206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全日制</w:t>
            </w:r>
          </w:p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本科</w:t>
            </w:r>
          </w:p>
        </w:tc>
        <w:tc>
          <w:tcPr>
            <w:tcW w:w="2002" w:type="dxa"/>
            <w:vAlign w:val="center"/>
          </w:tcPr>
          <w:p w:rsidR="00950923" w:rsidRDefault="00950923" w:rsidP="00A673A5">
            <w:pPr>
              <w:spacing w:line="140" w:lineRule="atLeast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城乡规划、城市规划与设计 、城市规划、人文地理与城乡规划、城乡规划学</w:t>
            </w:r>
          </w:p>
        </w:tc>
        <w:tc>
          <w:tcPr>
            <w:tcW w:w="3748" w:type="dxa"/>
            <w:vAlign w:val="center"/>
          </w:tcPr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</w:p>
        </w:tc>
      </w:tr>
      <w:tr w:rsidR="00950923" w:rsidTr="00A673A5">
        <w:trPr>
          <w:cantSplit/>
          <w:trHeight w:val="1358"/>
          <w:jc w:val="center"/>
        </w:trPr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lastRenderedPageBreak/>
              <w:t>4</w:t>
            </w:r>
          </w:p>
        </w:tc>
        <w:tc>
          <w:tcPr>
            <w:tcW w:w="434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拆迁专干</w:t>
            </w:r>
          </w:p>
        </w:tc>
        <w:tc>
          <w:tcPr>
            <w:tcW w:w="405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7</w:t>
            </w:r>
          </w:p>
        </w:tc>
        <w:tc>
          <w:tcPr>
            <w:tcW w:w="467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35周岁以下</w:t>
            </w:r>
          </w:p>
        </w:tc>
        <w:tc>
          <w:tcPr>
            <w:tcW w:w="1206" w:type="dxa"/>
            <w:vAlign w:val="center"/>
          </w:tcPr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全日制</w:t>
            </w:r>
          </w:p>
          <w:p w:rsidR="00950923" w:rsidRDefault="00950923" w:rsidP="00A673A5">
            <w:pPr>
              <w:spacing w:line="140" w:lineRule="atLeas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大专</w:t>
            </w:r>
          </w:p>
        </w:tc>
        <w:tc>
          <w:tcPr>
            <w:tcW w:w="2002" w:type="dxa"/>
            <w:vAlign w:val="center"/>
          </w:tcPr>
          <w:p w:rsidR="00950923" w:rsidRDefault="00950923" w:rsidP="00A673A5">
            <w:pPr>
              <w:spacing w:line="140" w:lineRule="atLeast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不限</w:t>
            </w:r>
          </w:p>
        </w:tc>
        <w:tc>
          <w:tcPr>
            <w:tcW w:w="3748" w:type="dxa"/>
            <w:vAlign w:val="center"/>
          </w:tcPr>
          <w:p w:rsidR="00950923" w:rsidRDefault="00950923" w:rsidP="00A673A5">
            <w:pPr>
              <w:pStyle w:val="a3"/>
              <w:adjustRightInd w:val="0"/>
              <w:snapToGrid w:val="0"/>
              <w:spacing w:before="0" w:beforeAutospacing="0" w:after="0" w:afterAutospacing="0" w:line="140" w:lineRule="atLeast"/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熟悉计算机操作，有良好的沟通协调能力和口头表达能力，逻辑思维能力强。男性优先，有社区等基层工作经验者优先。</w:t>
            </w:r>
          </w:p>
        </w:tc>
      </w:tr>
    </w:tbl>
    <w:p w:rsidR="00950923" w:rsidRDefault="00950923" w:rsidP="00950923"/>
    <w:p w:rsidR="00950923" w:rsidRDefault="00950923" w:rsidP="00950923">
      <w:pPr>
        <w:snapToGrid w:val="0"/>
        <w:spacing w:line="560" w:lineRule="exact"/>
        <w:rPr>
          <w:rFonts w:ascii="宋体" w:eastAsia="仿宋_GB2312" w:hAnsi="宋体"/>
          <w:bCs/>
          <w:color w:val="333333"/>
          <w:sz w:val="32"/>
          <w:szCs w:val="32"/>
          <w:lang w:bidi="ar"/>
        </w:rPr>
      </w:pPr>
      <w:r>
        <w:rPr>
          <w:rFonts w:ascii="宋体" w:eastAsia="仿宋_GB2312" w:hAnsi="宋体" w:hint="eastAsia"/>
          <w:bCs/>
          <w:color w:val="333333"/>
          <w:sz w:val="32"/>
          <w:szCs w:val="32"/>
          <w:lang w:bidi="ar"/>
        </w:rPr>
        <w:t>注：相关专业参照湖南省</w:t>
      </w:r>
      <w:r>
        <w:rPr>
          <w:rFonts w:ascii="宋体" w:eastAsia="仿宋_GB2312" w:hAnsi="宋体" w:hint="eastAsia"/>
          <w:bCs/>
          <w:color w:val="333333"/>
          <w:sz w:val="32"/>
          <w:szCs w:val="32"/>
          <w:lang w:bidi="ar"/>
        </w:rPr>
        <w:t>2</w:t>
      </w:r>
      <w:r>
        <w:rPr>
          <w:rFonts w:ascii="宋体" w:eastAsia="仿宋_GB2312" w:hAnsi="宋体"/>
          <w:bCs/>
          <w:color w:val="333333"/>
          <w:sz w:val="32"/>
          <w:szCs w:val="32"/>
          <w:lang w:bidi="ar"/>
        </w:rPr>
        <w:t>021</w:t>
      </w:r>
      <w:r>
        <w:rPr>
          <w:rFonts w:ascii="宋体" w:eastAsia="仿宋_GB2312" w:hAnsi="宋体" w:hint="eastAsia"/>
          <w:bCs/>
          <w:color w:val="333333"/>
          <w:sz w:val="32"/>
          <w:szCs w:val="32"/>
          <w:lang w:bidi="ar"/>
        </w:rPr>
        <w:t>年考试录用公务员专业指导目录</w:t>
      </w:r>
      <w:bookmarkStart w:id="0" w:name="_GoBack"/>
      <w:bookmarkEnd w:id="0"/>
    </w:p>
    <w:sectPr w:rsidR="0095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BC" w:rsidRDefault="003134BC" w:rsidP="00F56755">
      <w:r>
        <w:separator/>
      </w:r>
    </w:p>
  </w:endnote>
  <w:endnote w:type="continuationSeparator" w:id="0">
    <w:p w:rsidR="003134BC" w:rsidRDefault="003134BC" w:rsidP="00F5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BC" w:rsidRDefault="003134BC" w:rsidP="00F56755">
      <w:r>
        <w:separator/>
      </w:r>
    </w:p>
  </w:footnote>
  <w:footnote w:type="continuationSeparator" w:id="0">
    <w:p w:rsidR="003134BC" w:rsidRDefault="003134BC" w:rsidP="00F5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23"/>
    <w:rsid w:val="001D282C"/>
    <w:rsid w:val="00300506"/>
    <w:rsid w:val="003134BC"/>
    <w:rsid w:val="00950923"/>
    <w:rsid w:val="00F5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F6922B-B011-4BBF-BA0C-B5537D14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23"/>
    <w:pPr>
      <w:widowControl w:val="0"/>
      <w:jc w:val="both"/>
    </w:pPr>
  </w:style>
  <w:style w:type="paragraph" w:styleId="1">
    <w:name w:val="heading 1"/>
    <w:aliases w:val="标题一"/>
    <w:basedOn w:val="a"/>
    <w:next w:val="a"/>
    <w:link w:val="1Char"/>
    <w:autoRedefine/>
    <w:uiPriority w:val="9"/>
    <w:qFormat/>
    <w:rsid w:val="001D282C"/>
    <w:pPr>
      <w:keepNext/>
      <w:keepLines/>
      <w:spacing w:before="240" w:line="480" w:lineRule="auto"/>
      <w:outlineLvl w:val="0"/>
    </w:pPr>
    <w:rPr>
      <w:rFonts w:ascii="Calibri" w:eastAsia="仿宋" w:hAnsi="Calibri" w:cs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一 Char"/>
    <w:basedOn w:val="a0"/>
    <w:link w:val="1"/>
    <w:uiPriority w:val="9"/>
    <w:rsid w:val="001D282C"/>
    <w:rPr>
      <w:rFonts w:ascii="Calibri" w:eastAsia="仿宋" w:hAnsi="Calibri" w:cs="黑体"/>
      <w:b/>
      <w:bCs/>
      <w:kern w:val="44"/>
      <w:sz w:val="36"/>
      <w:szCs w:val="44"/>
    </w:rPr>
  </w:style>
  <w:style w:type="paragraph" w:styleId="a3">
    <w:name w:val="Normal (Web)"/>
    <w:basedOn w:val="a"/>
    <w:uiPriority w:val="99"/>
    <w:qFormat/>
    <w:rsid w:val="00950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5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67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6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2021-03-04T06:47:00Z</dcterms:created>
  <dcterms:modified xsi:type="dcterms:W3CDTF">2021-03-04T06:49:00Z</dcterms:modified>
</cp:coreProperties>
</file>