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ascii="仿宋" w:hAnsi="仿宋" w:eastAsia="仿宋"/>
          <w:b/>
          <w:sz w:val="24"/>
        </w:rPr>
        <w:t>1</w:t>
      </w:r>
    </w:p>
    <w:p>
      <w:pPr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桐乡技师学院面向普通高校应届优秀毕业生招聘</w:t>
      </w:r>
      <w:r>
        <w:rPr>
          <w:rFonts w:ascii="仿宋" w:hAnsi="仿宋" w:eastAsia="仿宋"/>
          <w:b/>
          <w:sz w:val="28"/>
          <w:szCs w:val="28"/>
        </w:rPr>
        <w:t>2021</w:t>
      </w:r>
      <w:r>
        <w:rPr>
          <w:rFonts w:hint="eastAsia" w:ascii="仿宋" w:hAnsi="仿宋" w:eastAsia="仿宋"/>
          <w:b/>
          <w:sz w:val="28"/>
          <w:szCs w:val="28"/>
        </w:rPr>
        <w:t>学年教师岗位计划表</w:t>
      </w:r>
    </w:p>
    <w:bookmarkEnd w:id="0"/>
    <w:tbl>
      <w:tblPr>
        <w:tblStyle w:val="4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665"/>
        <w:gridCol w:w="960"/>
        <w:gridCol w:w="5369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桐乡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烹饪专业教师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烹饪与营养教育、食品卫生与营养学、食品科学与工程、烹调工艺与营养专业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本科及以上/学士及以上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机械专业教师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机械设计制造及其自动化、机械电子工程、机械工程、机械工艺技术专业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本科及以上/学士及以上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服装专业教师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服装设计与工程、服装设计与工艺教育、服装与服饰设计专业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本科及以上/学士及以上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金融专业教师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金融学类专业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本科及以上/学士及以上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电气专业教师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电气工程及其自动化、电气工程与智能控制、自动化专业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本科及以上/学士及以上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320" w:lineRule="exact"/>
        <w:jc w:val="left"/>
        <w:rPr>
          <w:rFonts w:ascii="仿宋" w:hAnsi="仿宋" w:eastAsia="仿宋"/>
          <w:b/>
          <w:color w:val="FF0000"/>
          <w:w w:val="75"/>
          <w:sz w:val="28"/>
        </w:rPr>
        <w:sectPr>
          <w:pgSz w:w="11906" w:h="16838"/>
          <w:pgMar w:top="1440" w:right="284" w:bottom="1440" w:left="28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3327"/>
    <w:rsid w:val="4E6B33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2021-03-08T09:27:00Z</dcterms:created>
  <dc:creator>管利燕</dc:creator>
  <cp:lastModifiedBy>管利燕</cp:lastModifiedBy>
  <dcterms:modified xsi:type="dcterms:W3CDTF">2021-03-08T09:28:14Z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