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88"/>
        <w:gridCol w:w="826"/>
        <w:gridCol w:w="719"/>
        <w:gridCol w:w="887"/>
        <w:gridCol w:w="948"/>
        <w:gridCol w:w="1881"/>
        <w:gridCol w:w="1101"/>
        <w:gridCol w:w="6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其他要求和有关说明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（执业资格、专业技术资格）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    记者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（1986年4月1日后出生）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1.热爱文字类工作，能及时捕捉本地热点信息，采写本地新闻报道；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2.具有一定的采编和写作能力，具备新闻、专题报道和活动策划能力，拥有相关工作经验尤其新媒体从业经历者优先。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639E3E67"/>
    <w:rsid w:val="7CC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060EB1EA15FF46748AE65B7C8E604A93</vt:lpwstr>
  </property>
</Properties>
</file>