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88"/>
        <w:gridCol w:w="826"/>
        <w:gridCol w:w="719"/>
        <w:gridCol w:w="887"/>
        <w:gridCol w:w="948"/>
        <w:gridCol w:w="1881"/>
        <w:gridCol w:w="1101"/>
        <w:gridCol w:w="62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6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其他要求和有关说明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</w:rPr>
              <w:t>（执业资格、专业技术资格）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tblCellSpacing w:w="0" w:type="dxa"/>
          <w:jc w:val="center"/>
        </w:trPr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    记者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（1986年4月1日后出生）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1.热爱文字类工作，能及时捕捉本地热点信息，采写本地新闻报道；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2.具有一定的采编和写作能力，具备新闻、专题报道和活动策划能力，拥有相关工作经验尤其新媒体从业经历者优先。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E3E67"/>
    <w:rsid w:val="639E3E67"/>
    <w:rsid w:val="7CC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2021-03-31T02:17:00Z</dcterms:created>
  <dc:creator>Yan</dc:creator>
  <cp:lastModifiedBy>Yan</cp:lastModifiedBy>
  <dcterms:modified xsi:type="dcterms:W3CDTF">2021-03-31T02:21:56Z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060EB1EA15FF46748AE65B7C8E604A93</vt:lpwstr>
  </property>
</Properties>
</file>