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招聘岗位需求表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45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515"/>
        <w:gridCol w:w="720"/>
        <w:gridCol w:w="585"/>
        <w:gridCol w:w="1875"/>
        <w:gridCol w:w="1155"/>
        <w:gridCol w:w="945"/>
        <w:gridCol w:w="840"/>
        <w:gridCol w:w="945"/>
        <w:gridCol w:w="2758"/>
        <w:gridCol w:w="27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全日制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其他条件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社工办社工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一类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pacing w:val="-11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法学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公共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管理类、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统计学类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、经济学类、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会计与审计类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大学本科及以上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学士学位及以上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35岁以下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有财务、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优先。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工作地点为城区社工办，行政班，周末双休。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青少年事务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社工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三类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2"/>
                <w:szCs w:val="22"/>
                <w:lang w:bidi="ar"/>
              </w:rPr>
              <w:t>社会学类、心理学类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大学专科及以上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无要求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35岁以下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有相关工作经历或持有相关资格证书者优先。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热爱青少年事务工作、曾担任学生干部优先。</w:t>
            </w:r>
          </w:p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擅长公文写作、宣传报道，有相关工作经历优先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工作地点为城区社工办或社区青空间。社工办为行政班，周末双休；青空间每周固定休息1天，轮休1天。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青少年事务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社工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三类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不限专业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大学专科及以上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无要求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35岁以下</w:t>
            </w:r>
          </w:p>
        </w:tc>
        <w:tc>
          <w:tcPr>
            <w:tcW w:w="2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有相关工作经历或持有相关资格证书者优先。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热爱青少年事务工作、曾担任学生干部优先。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擅长公文写作、宣传报道，有相关工作经历优先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工作地点为城区社工办或社区青空间。社工办为行政班，周末双休；青空间每周固定休息1天，轮休1天。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361" w:right="1361" w:bottom="1361" w:left="136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76E52"/>
    <w:rsid w:val="52447E22"/>
    <w:rsid w:val="59A7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2021-04-01T01:42:00Z</dcterms:created>
  <dc:creator>θ..θ</dc:creator>
  <cp:lastModifiedBy>θ..θ</cp:lastModifiedBy>
  <dcterms:modified xsi:type="dcterms:W3CDTF">2021-04-01T01:43:35Z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