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Cs w:val="21"/>
        </w:rPr>
        <w:t>附件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：</w:t>
      </w:r>
    </w:p>
    <w:p>
      <w:pPr>
        <w:widowControl/>
        <w:spacing w:line="500" w:lineRule="exact"/>
        <w:ind w:right="72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2021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年上半年绵阳市市属学校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公开招聘教师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基层服务项目人员加分证明</w:t>
      </w:r>
    </w:p>
    <w:tbl>
      <w:tblPr>
        <w:tblStyle w:val="3"/>
        <w:tblpPr w:leftFromText="180" w:rightFromText="180" w:vertAnchor="text" w:horzAnchor="margin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　　评优文号：　　　（附评优文件）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hd w:val="clear" w:color="auto" w:fill="FFFFFF"/>
              <w:ind w:firstLine="48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本人承诺：本次申请加分的证件材料均真实有效，本人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未通过</w:t>
            </w:r>
            <w:r>
              <w:t>加分、定向招聘、考核招聘、政府安置等政策，招录（聘）为机关事业单位正式工作人员。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D1"/>
    <w:rsid w:val="00A25FD1"/>
    <w:rsid w:val="224D25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2021-04-15T06:15:00Z</dcterms:created>
  <dc:creator>jp</dc:creator>
  <cp:lastModifiedBy>jp</cp:lastModifiedBy>
  <dcterms:modified xsi:type="dcterms:W3CDTF">2021-04-15T09:32:28Z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