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微软雅黑" w:eastAsia="仿宋_GB2312" w:cs="宋体"/>
          <w:color w:val="2E2E2E"/>
          <w:sz w:val="32"/>
          <w:szCs w:val="32"/>
        </w:rPr>
        <w:t>附件1：</w:t>
      </w:r>
      <w:r>
        <w:rPr>
          <w:rFonts w:hint="eastAsia" w:ascii="仿宋_GB2312" w:eastAsia="仿宋_GB2312"/>
          <w:color w:val="000000"/>
          <w:sz w:val="32"/>
          <w:szCs w:val="32"/>
        </w:rPr>
        <w:t>2021年楚雄医药高等专科学校紧缺人才招聘计划表</w:t>
      </w:r>
    </w:p>
    <w:bookmarkEnd w:id="0"/>
    <w:tbl>
      <w:tblPr>
        <w:tblStyle w:val="2"/>
        <w:tblW w:w="10768" w:type="dxa"/>
        <w:tblInd w:w="-1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80"/>
        <w:gridCol w:w="1080"/>
        <w:gridCol w:w="859"/>
        <w:gridCol w:w="1080"/>
        <w:gridCol w:w="1080"/>
        <w:gridCol w:w="1080"/>
        <w:gridCol w:w="1580"/>
        <w:gridCol w:w="920"/>
        <w:gridCol w:w="1000"/>
        <w:gridCol w:w="4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计划招聘人数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毕业</w:t>
            </w: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职业资格证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宋体"/>
                <w:b/>
                <w:bCs/>
                <w:kern w:val="0"/>
                <w:sz w:val="24"/>
              </w:rPr>
              <w:t>其他</w:t>
            </w: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简体" w:hAnsi="方正仿宋简体" w:eastAsia="方正仿宋简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临床教师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临床医学类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康复教师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康复医学与理疗学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检验教师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病原生物学；临床检验诊断学；公共卫生与预防医学类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营养学教师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营养与食品卫生学；医疗器械经营与管理；医疗仪器维修技术；医学工程技术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中药学教师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中药学类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本科为中药专业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药学教师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药学类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本科为药学专业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基础教师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基础医学类；临床医学类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护理教师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护理学类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健康教师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公共卫生与预防医学类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专任教师1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临床医学类、基础医学类、护理学类、口腔医学类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楚雄医药高等专科学校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专任教师2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以下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硕士研究生及以上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药学类、医学技术类、公共卫生与预防医学类、中医学类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61E9"/>
    <w:rsid w:val="794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2021-04-29T08:04:00Z</dcterms:created>
  <dc:creator>zfw</dc:creator>
  <cp:lastModifiedBy>zfw</cp:lastModifiedBy>
  <dcterms:modified xsi:type="dcterms:W3CDTF">2021-04-29T08:06:06Z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