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附件2</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Style w:val="8"/>
          <w:rFonts w:eastAsia="方正小标宋简体"/>
          <w:b w:val="0"/>
          <w:sz w:val="32"/>
          <w:szCs w:val="32"/>
        </w:rPr>
        <w:t>2021</w:t>
      </w:r>
      <w:r>
        <w:rPr>
          <w:rStyle w:val="8"/>
          <w:rFonts w:hint="eastAsia" w:ascii="微软雅黑" w:hAnsi="微软雅黑" w:eastAsia="微软雅黑" w:cs="微软雅黑"/>
          <w:b w:val="0"/>
          <w:sz w:val="32"/>
          <w:szCs w:val="32"/>
        </w:rPr>
        <w:t>年度北海市</w:t>
      </w:r>
      <w:r>
        <w:rPr>
          <w:rStyle w:val="8"/>
          <w:rFonts w:hint="eastAsia" w:ascii="微软雅黑" w:hAnsi="微软雅黑" w:eastAsia="微软雅黑" w:cs="微软雅黑"/>
          <w:b w:val="0"/>
          <w:sz w:val="32"/>
          <w:szCs w:val="32"/>
          <w:lang w:eastAsia="zh-CN"/>
        </w:rPr>
        <w:t>铁山港区教育系统第二次</w:t>
      </w:r>
      <w:r>
        <w:rPr>
          <w:rStyle w:val="8"/>
          <w:rFonts w:hint="eastAsia" w:ascii="微软雅黑" w:hAnsi="微软雅黑" w:eastAsia="微软雅黑" w:cs="微软雅黑"/>
          <w:b w:val="0"/>
          <w:sz w:val="32"/>
          <w:szCs w:val="32"/>
        </w:rPr>
        <w:t>教师公开招聘考试大纲与说明</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北海市</w:t>
      </w:r>
      <w:r>
        <w:rPr>
          <w:rFonts w:hint="eastAsia" w:ascii="仿宋" w:hAnsi="仿宋" w:eastAsia="仿宋" w:cs="宋体"/>
          <w:snapToGrid w:val="0"/>
          <w:color w:val="000000"/>
          <w:kern w:val="0"/>
          <w:sz w:val="32"/>
          <w:szCs w:val="32"/>
          <w:lang w:eastAsia="zh-CN"/>
        </w:rPr>
        <w:t>铁山港区</w:t>
      </w:r>
      <w:r>
        <w:rPr>
          <w:rFonts w:hint="eastAsia" w:ascii="仿宋" w:hAnsi="仿宋" w:eastAsia="仿宋" w:cs="宋体"/>
          <w:snapToGrid w:val="0"/>
          <w:color w:val="000000"/>
          <w:kern w:val="0"/>
          <w:sz w:val="32"/>
          <w:szCs w:val="32"/>
        </w:rPr>
        <w:t>中小学教师公开招聘考试是全</w:t>
      </w:r>
      <w:r>
        <w:rPr>
          <w:rFonts w:hint="eastAsia" w:ascii="仿宋" w:hAnsi="仿宋" w:eastAsia="仿宋" w:cs="宋体"/>
          <w:snapToGrid w:val="0"/>
          <w:color w:val="000000"/>
          <w:kern w:val="0"/>
          <w:sz w:val="32"/>
          <w:szCs w:val="32"/>
          <w:lang w:eastAsia="zh-CN"/>
        </w:rPr>
        <w:t>区</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统一的选拔性考试，从教师应有的职业素质、专业水平、教育教学能力等方面进行全面考核，考试结果将作为我</w:t>
      </w:r>
      <w:r>
        <w:rPr>
          <w:rFonts w:hint="eastAsia" w:ascii="仿宋" w:hAnsi="仿宋" w:eastAsia="仿宋" w:cs="宋体"/>
          <w:snapToGrid w:val="0"/>
          <w:color w:val="000000"/>
          <w:kern w:val="0"/>
          <w:sz w:val="32"/>
          <w:szCs w:val="32"/>
          <w:lang w:eastAsia="zh-CN"/>
        </w:rPr>
        <w:t>区</w:t>
      </w:r>
      <w:bookmarkStart w:id="0" w:name="_GoBack"/>
      <w:bookmarkEnd w:id="0"/>
      <w:r>
        <w:rPr>
          <w:rFonts w:hint="eastAsia" w:ascii="仿宋" w:hAnsi="仿宋" w:eastAsia="仿宋" w:cs="宋体"/>
          <w:snapToGrid w:val="0"/>
          <w:color w:val="000000"/>
          <w:kern w:val="0"/>
          <w:sz w:val="32"/>
          <w:szCs w:val="32"/>
        </w:rPr>
        <w:t>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5.班级管理</w:t>
      </w:r>
      <w:r>
        <w:rPr>
          <w:rFonts w:hint="eastAsia" w:ascii="仿宋" w:hAnsi="仿宋" w:eastAsia="仿宋" w:cs="宋体"/>
          <w:bCs/>
          <w:snapToGrid w:val="0"/>
          <w:color w:val="00000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70题，每小题1分，共70分）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spacing w:line="570" w:lineRule="exact"/>
        <w:ind w:firstLine="640" w:firstLineChars="200"/>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20题，每小题0.55分，共11分）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5题，每小题1.4分，共7分）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w:t>
      </w:r>
      <w:r>
        <w:rPr>
          <w:rFonts w:hint="eastAsia" w:ascii="仿宋" w:hAnsi="仿宋" w:eastAsia="仿宋" w:cs="Arial"/>
          <w:snapToGrid w:val="0"/>
          <w:color w:val="000000"/>
          <w:kern w:val="0"/>
          <w:sz w:val="32"/>
          <w:szCs w:val="32"/>
          <w:lang w:eastAsia="zh-CN"/>
        </w:rPr>
        <w:t>铁山港区</w:t>
      </w:r>
      <w:r>
        <w:rPr>
          <w:rFonts w:hint="eastAsia" w:ascii="仿宋" w:hAnsi="仿宋" w:eastAsia="仿宋" w:cs="Arial"/>
          <w:snapToGrid w:val="0"/>
          <w:color w:val="000000"/>
          <w:kern w:val="0"/>
          <w:sz w:val="32"/>
          <w:szCs w:val="32"/>
        </w:rPr>
        <w:t>中小学教师公开招聘考试是全</w:t>
      </w:r>
      <w:r>
        <w:rPr>
          <w:rFonts w:hint="eastAsia" w:ascii="仿宋" w:hAnsi="仿宋" w:eastAsia="仿宋" w:cs="Arial"/>
          <w:snapToGrid w:val="0"/>
          <w:color w:val="000000"/>
          <w:kern w:val="0"/>
          <w:sz w:val="32"/>
          <w:szCs w:val="32"/>
          <w:lang w:eastAsia="zh-CN"/>
        </w:rPr>
        <w:t>区</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统一的选拔性考试，从教师应有的职业素质、专业水平、教育教学能力等方面进行全面考核，考试结果将作为我</w:t>
      </w:r>
      <w:r>
        <w:rPr>
          <w:rFonts w:hint="eastAsia" w:ascii="仿宋" w:hAnsi="仿宋" w:eastAsia="仿宋" w:cs="Arial"/>
          <w:snapToGrid w:val="0"/>
          <w:color w:val="000000"/>
          <w:kern w:val="0"/>
          <w:sz w:val="32"/>
          <w:szCs w:val="32"/>
          <w:lang w:eastAsia="zh-CN"/>
        </w:rPr>
        <w:t>区</w:t>
      </w:r>
      <w:r>
        <w:rPr>
          <w:rFonts w:hint="eastAsia" w:ascii="仿宋" w:hAnsi="仿宋" w:eastAsia="仿宋" w:cs="Arial"/>
          <w:snapToGrid w:val="0"/>
          <w:color w:val="000000"/>
          <w:kern w:val="0"/>
          <w:sz w:val="32"/>
          <w:szCs w:val="32"/>
        </w:rPr>
        <w:t>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w:t>
      </w:r>
      <w:r>
        <w:rPr>
          <w:rFonts w:hint="eastAsia" w:ascii="仿宋" w:hAnsi="仿宋" w:eastAsia="仿宋" w:cs="Arial"/>
          <w:bCs/>
          <w:snapToGrid w:val="0"/>
          <w:color w:val="000000"/>
          <w:kern w:val="0"/>
          <w:sz w:val="32"/>
          <w:szCs w:val="32"/>
        </w:rPr>
        <w:t>、德育模式</w:t>
      </w:r>
      <w:r>
        <w:rPr>
          <w:rFonts w:ascii="仿宋" w:hAnsi="仿宋" w:eastAsia="仿宋" w:cs="Arial"/>
          <w:bCs/>
          <w:snapToGrid w:val="0"/>
          <w:color w:val="000000"/>
          <w:kern w:val="0"/>
          <w:sz w:val="32"/>
          <w:szCs w:val="32"/>
        </w:rPr>
        <w:t>与</w:t>
      </w:r>
      <w:r>
        <w:rPr>
          <w:rFonts w:hint="eastAsia" w:ascii="仿宋" w:hAnsi="仿宋" w:eastAsia="仿宋" w:cs="Arial"/>
          <w:bCs/>
          <w:snapToGrid w:val="0"/>
          <w:color w:val="000000"/>
          <w:kern w:val="0"/>
          <w:sz w:val="32"/>
          <w:szCs w:val="32"/>
        </w:rPr>
        <w:t>德育</w:t>
      </w:r>
      <w:r>
        <w:rPr>
          <w:rFonts w:ascii="仿宋" w:hAnsi="仿宋" w:eastAsia="仿宋" w:cs="Arial"/>
          <w:bCs/>
          <w:snapToGrid w:val="0"/>
          <w:color w:val="000000"/>
          <w:kern w:val="0"/>
          <w:sz w:val="32"/>
          <w:szCs w:val="32"/>
        </w:rPr>
        <w:t>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w:t>
      </w: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70题，每小题1分，共70分）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10题，每小题1.2分，共12分）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020AE1"/>
    <w:rsid w:val="001002E9"/>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151341F1"/>
    <w:rsid w:val="1A4A5486"/>
    <w:rsid w:val="25DC6AAC"/>
    <w:rsid w:val="3BF63F35"/>
    <w:rsid w:val="3DBF2967"/>
    <w:rsid w:val="45E44D7A"/>
    <w:rsid w:val="470C3632"/>
    <w:rsid w:val="57E91D8C"/>
    <w:rsid w:val="58E02C1B"/>
    <w:rsid w:val="6883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字符"/>
    <w:basedOn w:val="7"/>
    <w:link w:val="5"/>
    <w:qFormat/>
    <w:uiPriority w:val="0"/>
    <w:rPr>
      <w:kern w:val="2"/>
      <w:sz w:val="18"/>
      <w:szCs w:val="18"/>
    </w:rPr>
  </w:style>
  <w:style w:type="character" w:customStyle="1" w:styleId="11">
    <w:name w:val="批注框文本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27</Pages>
  <Words>10684</Words>
  <Characters>891</Characters>
  <Lines>7</Lines>
  <Paragraphs>23</Paragraphs>
  <TotalTime>123</TotalTime>
  <ScaleCrop>false</ScaleCrop>
  <LinksUpToDate>false</LinksUpToDate>
  <CharactersWithSpaces>11552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Administrator</cp:lastModifiedBy>
  <cp:lastPrinted>2021-06-08T23:43:00Z</cp:lastPrinted>
  <dcterms:modified xsi:type="dcterms:W3CDTF">2021-06-09T13:05:21Z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FBF83783261F48F59C95A7E75BDFCAA6</vt:lpwstr>
  </property>
</Properties>
</file>