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10" w:lineRule="atLeast"/>
        <w:ind w:left="0" w:right="0"/>
        <w:jc w:val="center"/>
        <w:rPr>
          <w:rFonts w:ascii="微软雅黑" w:hAnsi="微软雅黑" w:eastAsia="微软雅黑" w:cs="微软雅黑"/>
          <w:b w:val="0"/>
          <w:i w:val="0"/>
          <w:color w:val="404040"/>
          <w:sz w:val="36"/>
          <w:szCs w:val="36"/>
          <w:u w:val="none"/>
        </w:rPr>
      </w:pPr>
      <w:r>
        <w:rPr>
          <w:rFonts w:hint="eastAsia" w:ascii="微软雅黑" w:hAnsi="微软雅黑" w:eastAsia="微软雅黑" w:cs="微软雅黑"/>
          <w:b w:val="0"/>
          <w:i w:val="0"/>
          <w:caps w:val="0"/>
          <w:color w:val="404040"/>
          <w:spacing w:val="0"/>
          <w:sz w:val="36"/>
          <w:szCs w:val="36"/>
          <w:u w:val="none"/>
          <w:bdr w:val="none" w:color="auto" w:sz="0" w:space="0"/>
        </w:rPr>
        <w:t>2021年安阳市人民医院公开招聘急需紧缺专业工作人员简章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150" w:firstLine="562"/>
        <w:jc w:val="left"/>
      </w:pPr>
      <w:r>
        <w:rPr>
          <w:rStyle w:val="6"/>
          <w:rFonts w:ascii="仿宋_GB2312" w:hAnsi="微软雅黑" w:eastAsia="仿宋_GB2312" w:cs="仿宋_GB2312"/>
          <w:b/>
          <w:i w:val="0"/>
          <w:caps w:val="0"/>
          <w:color w:val="404040"/>
          <w:spacing w:val="0"/>
          <w:sz w:val="28"/>
          <w:szCs w:val="28"/>
          <w:u w:val="none"/>
          <w:bdr w:val="none" w:color="auto" w:sz="0" w:space="0"/>
          <w:shd w:val="clear" w:fill="FFFFFF"/>
        </w:rPr>
        <w:t>一、招聘范围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普通高等教育硕士研究生及以上学历、学位，2019、2020、2021年毕业生和专业技术人员。(不含专科起点、专升本硕士)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招聘岗位数量、范围、条件见《安阳市人民医院公开招聘岗位表》（详见附件）。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2"/>
        <w:jc w:val="left"/>
      </w:pPr>
      <w:r>
        <w:rPr>
          <w:rStyle w:val="6"/>
          <w:rFonts w:hint="default" w:ascii="仿宋_GB2312" w:hAnsi="微软雅黑" w:eastAsia="仿宋_GB2312" w:cs="仿宋_GB2312"/>
          <w:b/>
          <w:i w:val="0"/>
          <w:caps w:val="0"/>
          <w:color w:val="404040"/>
          <w:spacing w:val="0"/>
          <w:sz w:val="28"/>
          <w:szCs w:val="28"/>
          <w:u w:val="none"/>
          <w:bdr w:val="none" w:color="auto" w:sz="0" w:space="0"/>
          <w:shd w:val="clear" w:fill="FFFFFF"/>
        </w:rPr>
        <w:t>二、应聘条件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2.遵守宪法和法律；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3.具有良好的品行；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4.岗位所需的专业或技能条件；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5.适应岗位要求的身体条件，符合《公务员录用体检通用标准》；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6.其他条件：第一学历为普通高等教育本科；第一学历专业和最高学历专业一致；申报医师岗位，需取得医师资格证和住院医师规范化培训证书（或已完成规培）；申报护理岗位人员需取得护士执业资格证书或成绩合格证明；博士研究生年龄在40周岁以下（1981年3月1日以后出生）,硕士研究生年龄在35周岁以下（1986年3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404040"/>
          <w:spacing w:val="0"/>
          <w:sz w:val="21"/>
          <w:szCs w:val="21"/>
          <w:u w:val="none"/>
        </w:rPr>
      </w:pPr>
      <w:r>
        <w:rPr>
          <w:rFonts w:hint="eastAsia" w:ascii="微软雅黑" w:hAnsi="微软雅黑" w:eastAsia="微软雅黑" w:cs="微软雅黑"/>
          <w:b w:val="0"/>
          <w:i w:val="0"/>
          <w:caps w:val="0"/>
          <w:color w:val="404040"/>
          <w:spacing w:val="0"/>
          <w:kern w:val="0"/>
          <w:sz w:val="21"/>
          <w:szCs w:val="21"/>
          <w:u w:val="none"/>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有下列情形之一的不得报名应聘：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1.现役军人、试用期内的公务员（含参公人员）和试用期内的事业单位工作人员，以及普通高等院校在校生（不含2021年应届毕业生）；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2.刑事处罚期限未满或者涉嫌违法犯罪正在接受调查的人员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3.尚未解除党纪、政纪处分或正在接受纪律审查的人员；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4.曾在公务员招录、事业单位公开招聘考试中被认定有舞弊等严重违反招聘纪律行为的人员；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5.国家和省另有规定不得应聘到事业单位的人员。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912" w:right="0" w:hanging="281"/>
        <w:jc w:val="left"/>
      </w:pPr>
      <w:r>
        <w:rPr>
          <w:rStyle w:val="6"/>
          <w:rFonts w:hint="default" w:ascii="仿宋_GB2312" w:hAnsi="微软雅黑" w:eastAsia="仿宋_GB2312" w:cs="仿宋_GB2312"/>
          <w:b/>
          <w:i w:val="0"/>
          <w:caps w:val="0"/>
          <w:color w:val="404040"/>
          <w:spacing w:val="0"/>
          <w:sz w:val="28"/>
          <w:szCs w:val="28"/>
          <w:u w:val="none"/>
          <w:bdr w:val="none" w:color="auto" w:sz="0" w:space="0"/>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980" w:right="0" w:hanging="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（一）发布招聘公告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2021年6月25日在安阳市卫生健康委员会网站、安阳市人民医院网站和安阳市人民医院微信订阅号发布2021年公开招聘急需紧缺专业工作人员公告。安阳市人民医院网站为本次招聘工作指定相关公告发布网站。</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（二）报名及资格初审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1、报名时间：2021年7月12日-7月16日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2、报名方式：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应聘人员可在规定报名时间内使用手机浏览器、微信或QQ扫描报名二维码，按照要求填写并提交《2021年安阳市人民医院公开招聘急需紧缺专业工作人员登记表》（附照片）。</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上传以下材料：</w:t>
      </w:r>
      <w:r>
        <w:rPr>
          <w:rStyle w:val="6"/>
          <w:rFonts w:hint="default" w:ascii="仿宋_GB2312" w:hAnsi="微软雅黑" w:eastAsia="仿宋_GB2312" w:cs="仿宋_GB2312"/>
          <w:b/>
          <w:i w:val="0"/>
          <w:caps w:val="0"/>
          <w:color w:val="3B608D"/>
          <w:spacing w:val="0"/>
          <w:sz w:val="28"/>
          <w:szCs w:val="28"/>
          <w:u w:val="none"/>
          <w:bdr w:val="none" w:color="auto" w:sz="0" w:space="0"/>
          <w:shd w:val="clear" w:fill="FFFFFF"/>
        </w:rPr>
        <w:t>毕业证、学位证、医师资格证、住院医师规范化培训证或规培证明、身份证</w:t>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。学历证书包括各层次毕业证和学位证。已毕业的须提供有效期内《教育部学历证书电子注册备案表》，尚未毕业的须提供《教育部学籍在线验证报告》。</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应聘人员所学专业应与招聘专业相一致，每人限报一个岗位，报名和考试时使用的身份证要一致。</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资格审查工作贯穿于招聘工作的全过程。应聘人员报名时提交的信息和提供的有关材料必须真实有效。一经发现与招聘要求的资格条件不符或提供虚假材料的，取消其应聘或聘用资格。</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报名资料不全，应聘人员须在报名期限内及时补充并按要求再次提交审查。</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（三）现场资格审核及领取准考证时间：2021年7月21日-7月22日工作时间内。</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现场资格审核需携带以上材料（网上报名所要求上传的材料）原件和复印件；应届毕业生提供加盖学校就业指导中心印章的《毕业生就业推荐表》或《就业协议书》及个人简历（1寸近期免冠同底照片3张）。</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w:t>
      </w:r>
      <w:r>
        <w:rPr>
          <w:rStyle w:val="6"/>
          <w:rFonts w:hint="default" w:ascii="仿宋_GB2312" w:hAnsi="微软雅黑" w:eastAsia="仿宋_GB2312" w:cs="仿宋_GB2312"/>
          <w:b/>
          <w:i w:val="0"/>
          <w:caps w:val="0"/>
          <w:color w:val="404040"/>
          <w:spacing w:val="0"/>
          <w:sz w:val="28"/>
          <w:szCs w:val="28"/>
          <w:u w:val="none"/>
          <w:bdr w:val="none" w:color="auto" w:sz="0" w:space="0"/>
          <w:shd w:val="clear" w:fill="FFFFFF"/>
        </w:rPr>
        <w:t>地点</w:t>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：安阳市人民医院东院区1号楼五楼3号会议室。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通过资格审查的人数与招聘岗位人数不足2:1的，按比例相应核减该岗位招聘人数，直至取消该岗位招聘。如有招聘岗位核减或取消情况，将在安阳市人民医院网站公布。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报考非医学类岗位考试内容为《公共基础知识》。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笔试时间：2021年7月24日上午8:30--10:30</w:t>
      </w:r>
      <w:r>
        <w:rPr>
          <w:rFonts w:ascii="Calibri" w:hAnsi="Calibri" w:eastAsia="微软雅黑" w:cs="Calibri"/>
          <w:b w:val="0"/>
          <w:i w:val="0"/>
          <w:caps w:val="0"/>
          <w:color w:val="404040"/>
          <w:spacing w:val="0"/>
          <w:sz w:val="28"/>
          <w:szCs w:val="28"/>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笔试成绩满分均为100分，笔试成绩保留到小数点后两位数。笔试成绩在考试结束1周内在安阳市人民医院网站上公布。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报考须参加笔试岗位的考生，根据应聘同一岗位人员的笔试成绩由高分到低分按2:1的比例确定进入面试人员。同一岗位比例内末位应聘人员出现笔试成绩并列时，同时确定为进入面试人选。笔试缺考、作弊或笔试成绩为0分的，不得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通过笔试进入面试的人员名单在安阳市人民医院网站上公布。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报考医学类的考生，进入面试人数与招聘岗位人数不足2:1的，经同级事业单位综合管理部门同意，在确保竞争的前提下，可适当降低比例。形不成竞争的取消该岗位招聘。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面试时间另行通知。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面试采取结构化面试方式进行。面试成绩满分为100分，保留小数点后两位数。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面试时，如有缺考人员造成该岗位不能形成竞争的，该岗位面试人员的面试成绩应达到其所在面试小组使用同一套面试题本的面试人员平均分，达不到平均分的不得进入体检与考察程序。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3.成绩计算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报考非医学类岗位总成绩=笔试成绩×40％+面试成绩×60％。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直接进入面试的岗位总成绩，面试成绩为考试总成绩。报考同一岗位的考生因面试成绩相同而影响招聘后续有关人选确定的，当天通过加试排出名次。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考试总成绩计算按四舍五入的办法保留到小数点后两位数。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（五）体检与考察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根据考试总成绩从高分到低分的顺序，按岗位招聘人数1:1的比例确定参加体检人员。招聘计划内若出现考试总成绩末位并列时，按面试成绩由高分至低分确定体检人员。参加体检人员名单在安阳市人民医院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体检标准参照《关于修订公务员录用体检通用标准(试行)及公务员录用体检操作手册（试行）有关内容的通知》（人社部发〔2016〕140号）的规定执行。法律、法规和行业主管部门有统一规定的，从其规定。</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体检对象放弃体检或因体检不合格出现招聘岗位缺额的，在同岗位应聘人员中，按总成绩从高分到低分依次等额递补确定体检人员。总成绩相同的按照面试成绩从高分到低分确定体检人员。</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根据面试成绩和体检结果确定考察人员，按照主管部门下发的考察通知要求，由招聘单位具体组织实施。考察阶段因考察不合格出现招聘岗位缺额的，不再递补，因自愿放弃出现招聘岗位缺额的，可以递补。递补人员名单在安阳市人民医院网站上公布。</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（六）公示</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按照面试、体检和考察结果，确定拟聘用人员，拟聘用人员名单在安阳市人民医院网站上公示。公示时间不少于7个工作日。</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（七）聘用</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公示结束后，对经公示无异议的拟聘用人员，博士研究生按照《安阳市人才引进暂行办法》办理入职手续；硕士研究生学历按照急需紧缺人才办理编制备案手续。</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w:t>
      </w:r>
      <w:r>
        <w:rPr>
          <w:rStyle w:val="6"/>
          <w:rFonts w:hint="default" w:ascii="仿宋_GB2312" w:hAnsi="微软雅黑" w:eastAsia="仿宋_GB2312" w:cs="仿宋_GB2312"/>
          <w:b/>
          <w:i w:val="0"/>
          <w:caps w:val="0"/>
          <w:color w:val="404040"/>
          <w:spacing w:val="0"/>
          <w:sz w:val="28"/>
          <w:szCs w:val="28"/>
          <w:u w:val="none"/>
          <w:bdr w:val="none" w:color="auto" w:sz="0" w:space="0"/>
          <w:shd w:val="clear" w:fill="FFFFFF"/>
        </w:rPr>
        <w:t> 五、纪律与监督</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招聘工作主动接受纪检监察部门的监督。根据《河南省事业单位公开招聘工作规程》第五十五条规定，实行回避制度。对弄虚作假，在招聘过程中作弊的应聘人员一经查实，将取消其聘用资格。对违反公开招聘纪律的工作人员，视情节轻重，给予相应处理。</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特别提示：</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应聘人员在应聘期间要保持通讯畅通，报名时留下的联系方式若有变化，要及时告知招聘主管部门，因本人原因错过重要信息而影响考试聘用的，责任自负。</w:t>
      </w:r>
      <w:r>
        <w:rPr>
          <w:rFonts w:hint="eastAsia" w:ascii="微软雅黑" w:hAnsi="微软雅黑" w:eastAsia="微软雅黑" w:cs="微软雅黑"/>
          <w:b w:val="0"/>
          <w:i w:val="0"/>
          <w:caps w:val="0"/>
          <w:color w:val="404040"/>
          <w:spacing w:val="0"/>
          <w:sz w:val="21"/>
          <w:szCs w:val="21"/>
          <w:u w:val="none"/>
          <w:bdr w:val="none" w:color="auto" w:sz="0" w:space="0"/>
          <w:shd w:val="clear" w:fill="FFFFFF"/>
        </w:rPr>
        <w:br w:type="textWrapping"/>
      </w: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本次招聘不指定考试辅导用书，不授权或委托任何机构举办考试辅导培训班。社会上出现任何名义举办的辅导班、辅导网站或出版物、上网卡等，均与招聘主管部门无关。敬请广大报考者提高警惕，切勿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本次招聘由安阳市人民医院负责组织实施，招聘过程中如有疑问，由安阳市人民医院负责解释。安阳市卫生健康委员会负责全程监督与指导。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医院地址：河南省安阳市文峰区岳飞街1120号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咨询电话：0372-2077021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56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监督电话: 0372-2077027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3780"/>
        <w:jc w:val="lef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3780"/>
        <w:jc w:val="left"/>
        <w:rPr>
          <w:sz w:val="28"/>
          <w:szCs w:val="28"/>
        </w:rPr>
      </w:pPr>
      <w:r>
        <w:rPr>
          <w:rFonts w:hint="eastAsia" w:ascii="微软雅黑" w:hAnsi="微软雅黑" w:eastAsia="微软雅黑" w:cs="微软雅黑"/>
          <w:b w:val="0"/>
          <w:i w:val="0"/>
          <w:caps w:val="0"/>
          <w:color w:val="404040"/>
          <w:spacing w:val="0"/>
          <w:sz w:val="28"/>
          <w:szCs w:val="28"/>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4620"/>
        <w:jc w:val="right"/>
      </w:pPr>
      <w:r>
        <w:rPr>
          <w:rFonts w:hint="default" w:ascii="仿宋_GB2312" w:hAnsi="微软雅黑" w:eastAsia="仿宋_GB2312" w:cs="仿宋_GB2312"/>
          <w:b w:val="0"/>
          <w:i w:val="0"/>
          <w:caps w:val="0"/>
          <w:color w:val="404040"/>
          <w:spacing w:val="0"/>
          <w:sz w:val="28"/>
          <w:szCs w:val="28"/>
          <w:u w:val="none"/>
          <w:bdr w:val="none" w:color="auto" w:sz="0" w:space="0"/>
          <w:shd w:val="clear" w:fill="FFFFFF"/>
        </w:rPr>
        <w:t>二0二一年六月二十五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4620"/>
        <w:jc w:val="left"/>
      </w:pPr>
      <w:r>
        <w:rPr>
          <w:rFonts w:hint="eastAsia" w:ascii="微软雅黑" w:hAnsi="微软雅黑" w:eastAsia="微软雅黑" w:cs="微软雅黑"/>
          <w:b w:val="0"/>
          <w:i w:val="0"/>
          <w:caps w:val="0"/>
          <w:color w:val="404040"/>
          <w:spacing w:val="0"/>
          <w:sz w:val="21"/>
          <w:szCs w:val="21"/>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4620"/>
        <w:jc w:val="left"/>
        <w:rPr>
          <w:sz w:val="28"/>
          <w:szCs w:val="28"/>
        </w:rPr>
      </w:pPr>
      <w:r>
        <w:rPr>
          <w:rStyle w:val="6"/>
          <w:rFonts w:hint="default" w:ascii="仿宋_GB2312" w:hAnsi="微软雅黑" w:eastAsia="仿宋_GB2312" w:cs="仿宋_GB2312"/>
          <w:b/>
          <w:i w:val="0"/>
          <w:caps w:val="0"/>
          <w:color w:val="404040"/>
          <w:spacing w:val="0"/>
          <w:sz w:val="28"/>
          <w:szCs w:val="28"/>
          <w:u w:val="none"/>
          <w:bdr w:val="none" w:color="auto" w:sz="0" w:space="0"/>
          <w:shd w:val="clear" w:fill="FFFFFF"/>
        </w:rPr>
        <w:t>扫二维码报名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4620"/>
        <w:jc w:val="left"/>
        <w:rPr>
          <w:sz w:val="28"/>
          <w:szCs w:val="28"/>
        </w:rPr>
      </w:pPr>
      <w:r>
        <w:rPr>
          <w:rFonts w:hint="eastAsia" w:ascii="微软雅黑" w:hAnsi="微软雅黑" w:eastAsia="微软雅黑" w:cs="微软雅黑"/>
          <w:b w:val="0"/>
          <w:i w:val="0"/>
          <w:caps w:val="0"/>
          <w:color w:val="404040"/>
          <w:spacing w:val="0"/>
          <w:sz w:val="28"/>
          <w:szCs w:val="28"/>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tLeast"/>
        <w:ind w:left="0" w:right="0"/>
        <w:jc w:val="center"/>
      </w:pPr>
      <w:r>
        <w:rPr>
          <w:rFonts w:hint="eastAsia" w:ascii="微软雅黑" w:hAnsi="微软雅黑" w:eastAsia="微软雅黑" w:cs="微软雅黑"/>
          <w:b w:val="0"/>
          <w:i w:val="0"/>
          <w:caps w:val="0"/>
          <w:color w:val="404040"/>
          <w:spacing w:val="0"/>
          <w:sz w:val="21"/>
          <w:szCs w:val="21"/>
          <w:u w:val="none"/>
          <w:bdr w:val="none" w:color="auto" w:sz="0" w:space="0"/>
        </w:rPr>
        <w:drawing>
          <wp:inline distT="0" distB="0" distL="114300" distR="114300">
            <wp:extent cx="2695575" cy="26955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695575" cy="2695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jc w:val="both"/>
        <w:rPr>
          <w:sz w:val="28"/>
          <w:szCs w:val="28"/>
        </w:rPr>
      </w:pPr>
      <w:r>
        <w:rPr>
          <w:rFonts w:hint="eastAsia" w:ascii="微软雅黑" w:hAnsi="微软雅黑" w:eastAsia="微软雅黑" w:cs="微软雅黑"/>
          <w:b w:val="0"/>
          <w:i w:val="0"/>
          <w:caps w:val="0"/>
          <w:color w:val="404040"/>
          <w:spacing w:val="0"/>
          <w:sz w:val="28"/>
          <w:szCs w:val="28"/>
          <w:u w:val="none"/>
          <w:bdr w:val="none" w:color="auto" w:sz="0" w:space="0"/>
          <w:shd w:val="clear" w:fill="FFFFFF"/>
        </w:rPr>
        <w:t> </w:t>
      </w:r>
    </w:p>
    <w:tbl>
      <w:tblPr>
        <w:tblW w:w="79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4"/>
        <w:gridCol w:w="733"/>
        <w:gridCol w:w="551"/>
        <w:gridCol w:w="1157"/>
        <w:gridCol w:w="713"/>
        <w:gridCol w:w="621"/>
        <w:gridCol w:w="624"/>
        <w:gridCol w:w="1754"/>
        <w:gridCol w:w="360"/>
        <w:gridCol w:w="334"/>
        <w:gridCol w:w="251"/>
        <w:gridCol w:w="37"/>
        <w:gridCol w:w="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2"/>
          <w:trHeight w:val="403" w:hRule="atLeast"/>
        </w:trPr>
        <w:tc>
          <w:tcPr>
            <w:tcW w:w="0" w:type="auto"/>
            <w:gridSpan w:val="2"/>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32"/>
                <w:szCs w:val="32"/>
                <w:bdr w:val="none" w:color="auto" w:sz="0" w:space="0"/>
              </w:rPr>
              <w:t>附件1</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32"/>
                <w:szCs w:val="32"/>
              </w:rPr>
            </w:pPr>
            <w:r>
              <w:rPr>
                <w:sz w:val="32"/>
                <w:szCs w:val="32"/>
                <w:bdr w:val="none" w:color="auto" w:sz="0" w:space="0"/>
              </w:rPr>
              <w:t> </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gridSpan w:val="2"/>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gridSpan w:val="2"/>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gridSpan w:val="2"/>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0" w:type="auto"/>
            <w:gridSpan w:val="13"/>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color w:val="000000"/>
                <w:sz w:val="36"/>
                <w:szCs w:val="36"/>
                <w:bdr w:val="none" w:color="auto" w:sz="0" w:space="0"/>
              </w:rPr>
              <w:t>2021年安阳市人民医院公开招聘急需紧缺专业工作人员岗位表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9" w:type="dxa"/>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r>
              <w:rPr>
                <w:sz w:val="36"/>
                <w:szCs w:val="36"/>
                <w:bdr w:val="none" w:color="auto" w:sz="0" w:space="0"/>
              </w:rPr>
              <w:t> </w:t>
            </w:r>
          </w:p>
        </w:tc>
        <w:tc>
          <w:tcPr>
            <w:tcW w:w="344" w:type="dxa"/>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sz w:val="20"/>
                <w:szCs w:val="20"/>
                <w:bdr w:val="none" w:color="auto" w:sz="0" w:space="0"/>
              </w:rPr>
              <w:t> </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gridSpan w:val="2"/>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gridSpan w:val="2"/>
            <w:tcBorders>
              <w:top w:val="single" w:color="DDDDDD" w:sz="6" w:space="0"/>
              <w:left w:val="single" w:color="DDDDDD" w:sz="6" w:space="0"/>
              <w:bottom w:val="single" w:color="DDDDDD" w:sz="6"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sz w:val="20"/>
                <w:szCs w:val="20"/>
                <w:bdr w:val="none" w:color="auto" w:sz="0" w:space="0"/>
              </w:rPr>
              <w:t> </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389" w:type="dxa"/>
            <w:vMerge w:val="restar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招聘 单位</w:t>
            </w:r>
          </w:p>
        </w:tc>
        <w:tc>
          <w:tcPr>
            <w:tcW w:w="344" w:type="dxa"/>
            <w:vMerge w:val="restar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招聘岗位</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拟聘</w:t>
            </w:r>
            <w:r>
              <w:rPr>
                <w:bdr w:val="none" w:color="auto" w:sz="0" w:space="0"/>
              </w:rPr>
              <w:br w:type="textWrapping"/>
            </w:r>
            <w:r>
              <w:rPr>
                <w:rFonts w:hint="eastAsia" w:ascii="黑体" w:hAnsi="宋体" w:eastAsia="黑体" w:cs="黑体"/>
                <w:color w:val="000000"/>
                <w:sz w:val="22"/>
                <w:szCs w:val="22"/>
                <w:bdr w:val="none" w:color="auto" w:sz="0" w:space="0"/>
              </w:rPr>
              <w:t>人数</w:t>
            </w:r>
          </w:p>
        </w:tc>
        <w:tc>
          <w:tcPr>
            <w:tcW w:w="0" w:type="auto"/>
            <w:gridSpan w:val="6"/>
            <w:tcBorders>
              <w:top w:val="single" w:color="000000" w:sz="4"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资格条件</w:t>
            </w:r>
          </w:p>
        </w:tc>
        <w:tc>
          <w:tcPr>
            <w:tcW w:w="0" w:type="auto"/>
            <w:gridSpan w:val="2"/>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招聘办法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389" w:type="dxa"/>
            <w:vMerge w:val="continue"/>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vMerge w:val="continue"/>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聘用岗位</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学历、学位</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sz w:val="22"/>
                <w:szCs w:val="22"/>
                <w:bdr w:val="none" w:color="auto" w:sz="0" w:space="0"/>
              </w:rPr>
              <w:t>其他条件</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7" w:hRule="atLeast"/>
        </w:trPr>
        <w:tc>
          <w:tcPr>
            <w:tcW w:w="389" w:type="dxa"/>
            <w:vMerge w:val="restart"/>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0</w:t>
            </w: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内科学或临床医学</w:t>
            </w:r>
            <w:r>
              <w:rPr>
                <w:bdr w:val="none" w:color="auto" w:sz="0" w:space="0"/>
              </w:rPr>
              <w:br w:type="textWrapping"/>
            </w:r>
            <w:r>
              <w:rPr>
                <w:rFonts w:hint="default" w:ascii="仿宋_GB2312" w:eastAsia="仿宋_GB2312" w:cs="仿宋_GB2312"/>
                <w:color w:val="000000"/>
                <w:sz w:val="20"/>
                <w:szCs w:val="20"/>
                <w:bdr w:val="none" w:color="auto" w:sz="0" w:space="0"/>
              </w:rPr>
              <w:t>（心血管内科）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心血管内科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7"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神经病学或临床医学</w:t>
            </w:r>
            <w:r>
              <w:rPr>
                <w:bdr w:val="none" w:color="auto" w:sz="0" w:space="0"/>
              </w:rPr>
              <w:br w:type="textWrapping"/>
            </w:r>
            <w:r>
              <w:rPr>
                <w:rFonts w:hint="default" w:ascii="仿宋_GB2312" w:eastAsia="仿宋_GB2312" w:cs="仿宋_GB2312"/>
                <w:color w:val="000000"/>
                <w:sz w:val="20"/>
                <w:szCs w:val="20"/>
                <w:bdr w:val="none" w:color="auto" w:sz="0" w:space="0"/>
              </w:rPr>
              <w:t>（神经内科）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神经内科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内科学或临床医学</w:t>
            </w:r>
            <w:r>
              <w:rPr>
                <w:bdr w:val="none" w:color="auto" w:sz="0" w:space="0"/>
              </w:rPr>
              <w:br w:type="textWrapping"/>
            </w:r>
            <w:r>
              <w:rPr>
                <w:rFonts w:hint="default" w:ascii="仿宋_GB2312" w:eastAsia="仿宋_GB2312" w:cs="仿宋_GB2312"/>
                <w:color w:val="000000"/>
                <w:sz w:val="20"/>
                <w:szCs w:val="20"/>
                <w:bdr w:val="none" w:color="auto" w:sz="0" w:space="0"/>
              </w:rPr>
              <w:t>（呼吸与危重症）</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呼吸与危重症科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7"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内科学或临床医学</w:t>
            </w:r>
            <w:r>
              <w:rPr>
                <w:bdr w:val="none" w:color="auto" w:sz="0" w:space="0"/>
              </w:rPr>
              <w:br w:type="textWrapping"/>
            </w:r>
            <w:r>
              <w:rPr>
                <w:rFonts w:hint="default" w:ascii="仿宋_GB2312" w:eastAsia="仿宋_GB2312" w:cs="仿宋_GB2312"/>
                <w:color w:val="000000"/>
                <w:sz w:val="20"/>
                <w:szCs w:val="20"/>
                <w:bdr w:val="none" w:color="auto" w:sz="0" w:space="0"/>
              </w:rPr>
              <w:t>（消化内科）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消化内科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内科学或临床医学（内分泌）</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内分泌科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内科学或临床医学（肾内科）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肾内科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2" w:hRule="atLeast"/>
        </w:trPr>
        <w:tc>
          <w:tcPr>
            <w:tcW w:w="389" w:type="dxa"/>
            <w:vMerge w:val="restart"/>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　</w:t>
            </w: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7</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w:t>
            </w:r>
            <w:r>
              <w:rPr>
                <w:bdr w:val="none" w:color="auto" w:sz="0" w:space="0"/>
              </w:rPr>
              <w:br w:type="textWrapping"/>
            </w:r>
            <w:r>
              <w:rPr>
                <w:rFonts w:hint="default" w:ascii="仿宋_GB2312" w:eastAsia="仿宋_GB2312" w:cs="仿宋_GB2312"/>
                <w:color w:val="000000"/>
                <w:sz w:val="20"/>
                <w:szCs w:val="20"/>
                <w:bdr w:val="none" w:color="auto" w:sz="0" w:space="0"/>
              </w:rPr>
              <w:t>（普通外科）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普通外科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3</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w:t>
            </w:r>
            <w:r>
              <w:rPr>
                <w:bdr w:val="none" w:color="auto" w:sz="0" w:space="0"/>
              </w:rPr>
              <w:br w:type="textWrapping"/>
            </w:r>
            <w:r>
              <w:rPr>
                <w:rFonts w:hint="default" w:ascii="仿宋_GB2312" w:eastAsia="仿宋_GB2312" w:cs="仿宋_GB2312"/>
                <w:color w:val="000000"/>
                <w:sz w:val="20"/>
                <w:szCs w:val="20"/>
                <w:bdr w:val="none" w:color="auto" w:sz="0" w:space="0"/>
              </w:rPr>
              <w:t>（神经外科）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神经外科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7</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外科学或临床医学（骨科）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骨科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3</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w:t>
            </w:r>
            <w:r>
              <w:rPr>
                <w:bdr w:val="none" w:color="auto" w:sz="0" w:space="0"/>
              </w:rPr>
              <w:br w:type="textWrapping"/>
            </w:r>
            <w:r>
              <w:rPr>
                <w:rFonts w:hint="default" w:ascii="仿宋_GB2312" w:eastAsia="仿宋_GB2312" w:cs="仿宋_GB2312"/>
                <w:color w:val="000000"/>
                <w:sz w:val="20"/>
                <w:szCs w:val="20"/>
                <w:bdr w:val="none" w:color="auto" w:sz="0" w:space="0"/>
              </w:rPr>
              <w:t>（心脏外科）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心脏外科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外科学或临床医学（胸外科）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普胸外科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耳鼻咽喉科学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耳鼻喉头颈外科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外科学或临床医学（烧伤整形）</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烧伤整形科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外科学或临床医学</w:t>
            </w:r>
            <w:r>
              <w:rPr>
                <w:bdr w:val="none" w:color="auto" w:sz="0" w:space="0"/>
              </w:rPr>
              <w:br w:type="textWrapping"/>
            </w:r>
            <w:r>
              <w:rPr>
                <w:rFonts w:hint="default" w:ascii="仿宋_GB2312" w:eastAsia="仿宋_GB2312" w:cs="仿宋_GB2312"/>
                <w:color w:val="000000"/>
                <w:sz w:val="20"/>
                <w:szCs w:val="20"/>
                <w:bdr w:val="none" w:color="auto" w:sz="0" w:space="0"/>
              </w:rPr>
              <w:t>（泌尿外科）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泌尿外科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7" w:hRule="atLeast"/>
        </w:trPr>
        <w:tc>
          <w:tcPr>
            <w:tcW w:w="389" w:type="dxa"/>
            <w:vMerge w:val="restart"/>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　</w:t>
            </w: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儿科学或外科学（小儿外科）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儿科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眼科学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眼科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皮肤病与性病学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皮肤性病科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6</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内科学、外科学、神经病学或临床医学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重症医学科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7"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6</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急诊医学、内科学、外科学、神经病学或临床医学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急诊科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7"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精神病与精神卫生学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心理科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康复医学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康复科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7"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针灸推拿学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针灸科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起始学历普通高等教育五年制本科(本科：针灸推拿专业）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1、2018、2019、2020年毕业生。2、取得医师资格证书、住院医师规范化培训证书或完成住院医师规范化培训轮转。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7" w:hRule="atLeast"/>
        </w:trPr>
        <w:tc>
          <w:tcPr>
            <w:tcW w:w="389" w:type="dxa"/>
            <w:vMerge w:val="restart"/>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　</w:t>
            </w: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3</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麻醉学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麻醉科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sz w:val="20"/>
                <w:szCs w:val="20"/>
                <w:bdr w:val="none" w:color="auto" w:sz="0" w:space="0"/>
              </w:rPr>
              <w:t>起始学历普通高等教育五年制本科(本科：麻醉学或临床医学专业）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临床检验诊断学或临床医学</w:t>
            </w:r>
            <w:r>
              <w:rPr>
                <w:bdr w:val="none" w:color="auto" w:sz="0" w:space="0"/>
              </w:rPr>
              <w:br w:type="textWrapping"/>
            </w:r>
            <w:r>
              <w:rPr>
                <w:rFonts w:hint="default" w:ascii="仿宋_GB2312" w:eastAsia="仿宋_GB2312" w:cs="仿宋_GB2312"/>
                <w:sz w:val="20"/>
                <w:szCs w:val="20"/>
                <w:bdr w:val="none" w:color="auto" w:sz="0" w:space="0"/>
              </w:rPr>
              <w:t>（临检方向）</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检验科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sz w:val="20"/>
                <w:szCs w:val="20"/>
                <w:bdr w:val="none" w:color="auto" w:sz="0" w:space="0"/>
              </w:rPr>
              <w:t>起始学历普通高等教育五年制或四年制本科(本科：医学检验专业）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影像医学与核医学（放射）</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放射科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sz w:val="20"/>
                <w:szCs w:val="20"/>
                <w:bdr w:val="none" w:color="auto" w:sz="0" w:space="0"/>
              </w:rPr>
              <w:t>起始学历普通高等教育五年制本科(本科：医学影像学或临床医学专业）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影像医学与核医学（超声）</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超声科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起始学历普通高等教育五年制本科(本科：医学影像学专业）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影像医学与核医学（介入）</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介入科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起始学历普通高等教育五年制本科(本科：医学影像学专业）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7"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3</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肿瘤学（放射治疗）</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肿瘤放疗科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2"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临床病理学或病理学与病理生理学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病理科（诊断）</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起始学历普通高等教育五年制本科(本科：临床医学专业）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1、2019、2020、2021年毕业生。2、取得医师资格证书、住院医师规范化培训证书或完成住院医师规范化培训轮转。</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病理学与病理生理学或生物学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病理科（技术）</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w:t>
            </w:r>
            <w:r>
              <w:rPr>
                <w:rFonts w:hint="default" w:ascii="仿宋_GB2312" w:eastAsia="仿宋_GB2312" w:cs="仿宋_GB2312"/>
                <w:sz w:val="20"/>
                <w:szCs w:val="20"/>
                <w:bdr w:val="none" w:color="auto" w:sz="0" w:space="0"/>
              </w:rPr>
              <w:t>医学检验技术或生物技术专业）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w:t>
            </w:r>
            <w:r>
              <w:rPr>
                <w:bdr w:val="none" w:color="auto" w:sz="0" w:space="0"/>
              </w:rPr>
              <w:br w:type="textWrapping"/>
            </w:r>
            <w:r>
              <w:rPr>
                <w:rFonts w:hint="default" w:ascii="仿宋_GB2312" w:eastAsia="仿宋_GB2312" w:cs="仿宋_GB2312"/>
                <w:color w:val="000000"/>
                <w:sz w:val="20"/>
                <w:szCs w:val="20"/>
                <w:bdr w:val="none" w:color="auto" w:sz="0" w:space="0"/>
              </w:rPr>
              <w:t>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药学或药理学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药政部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起始学历普通高等教育四年制或五年制本科(本科：药学或药物制剂专业）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389" w:type="dxa"/>
            <w:vMerge w:val="restart"/>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　</w:t>
            </w: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公共卫生学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感控管理科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起始学历普通高等教育五年制本科(本科：预防医学专业）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5</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护理学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临床护理</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起始学历普通高等教育四年制本科(本科：护理学专业）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1、2019、2020、2021年毕业生。2、取得护士执业资格证书。</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计算机技术</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信息中心</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起始学历普通高等教育四年制本科(本科：计算机专业）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专技</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医学营养学</w:t>
            </w:r>
            <w:r>
              <w:rPr>
                <w:bdr w:val="none" w:color="auto" w:sz="0" w:space="0"/>
              </w:rPr>
              <w:br w:type="textWrapping"/>
            </w:r>
            <w:r>
              <w:rPr>
                <w:rFonts w:hint="default" w:ascii="仿宋_GB2312" w:eastAsia="仿宋_GB2312" w:cs="仿宋_GB2312"/>
                <w:sz w:val="20"/>
                <w:szCs w:val="20"/>
                <w:bdr w:val="none" w:color="auto" w:sz="0" w:space="0"/>
              </w:rPr>
              <w:t>（营养与食品卫生）</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营养科</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起始学历普通高等教育五年制本科(本科：预防医学专业）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1、2019、2020、2021年毕业生。2、取得医师资格证书。</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直接进入面试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社会医学与卫生事业管理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管理部门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起始学历普通高等教育四年制本科(本科：管理学专业）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笔试、面试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6</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会计学、金融学、国民经济学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管理部门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起始学历普通高等教育四年制本科(本科：会计学或财政学专业）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笔试、面试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统计学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管理部门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起始学历普通高等教育四年制本科(本科：统计学专业）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笔试、面试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语言学及应用语言学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管理部门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起始学历普通高等教育四年制本科(本科：语言学专业）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笔试、面试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法学</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管理部门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起始学历普通高等教育四年制本科(本科：法学专业）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1、2019、2020、2021年毕业生。2、取得法律职业资格证书。</w:t>
            </w:r>
            <w:r>
              <w:rPr>
                <w:bdr w:val="none" w:color="auto" w:sz="0" w:space="0"/>
              </w:rPr>
              <w:br w:type="textWrapping"/>
            </w:r>
            <w:r>
              <w:rPr>
                <w:rFonts w:hint="default" w:ascii="仿宋_GB2312" w:eastAsia="仿宋_GB2312" w:cs="仿宋_GB2312"/>
                <w:color w:val="000000"/>
                <w:sz w:val="20"/>
                <w:szCs w:val="20"/>
                <w:bdr w:val="none" w:color="auto" w:sz="0" w:space="0"/>
              </w:rPr>
              <w:t>3、专业方向符合招聘要求。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笔试、面试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2</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建筑与土木工程</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管理部门</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普通高等教育硕士及以上学历、学位</w:t>
            </w:r>
            <w:r>
              <w:rPr>
                <w:bdr w:val="none" w:color="auto" w:sz="0" w:space="0"/>
              </w:rPr>
              <w:br w:type="textWrapping"/>
            </w:r>
            <w:r>
              <w:rPr>
                <w:rFonts w:hint="default" w:ascii="仿宋_GB2312" w:eastAsia="仿宋_GB2312" w:cs="仿宋_GB2312"/>
                <w:color w:val="000000"/>
                <w:sz w:val="20"/>
                <w:szCs w:val="20"/>
                <w:bdr w:val="none" w:color="auto" w:sz="0" w:space="0"/>
              </w:rPr>
              <w:t>起始学历普通高等教育四年制本科(本科：建筑工程类专业）</w:t>
            </w:r>
          </w:p>
        </w:tc>
        <w:tc>
          <w:tcPr>
            <w:tcW w:w="0" w:type="auto"/>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color w:val="000000"/>
                <w:sz w:val="20"/>
                <w:szCs w:val="20"/>
                <w:bdr w:val="none" w:color="auto" w:sz="0" w:space="0"/>
              </w:rPr>
              <w:t>1、2019、2020、2021年毕业生。2、专业方向符合招聘要求。</w:t>
            </w:r>
          </w:p>
        </w:tc>
        <w:tc>
          <w:tcPr>
            <w:tcW w:w="0" w:type="auto"/>
            <w:gridSpan w:val="2"/>
            <w:tcBorders>
              <w:top w:val="single" w:color="DDDDDD" w:sz="6"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color w:val="000000"/>
                <w:sz w:val="20"/>
                <w:szCs w:val="20"/>
                <w:bdr w:val="none" w:color="auto" w:sz="0" w:space="0"/>
              </w:rPr>
              <w:t>笔试、面试</w:t>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389" w:type="dxa"/>
            <w:vMerge w:val="continue"/>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rPr>
                <w:rFonts w:hint="eastAsia" w:ascii="宋体"/>
                <w:sz w:val="24"/>
                <w:szCs w:val="24"/>
              </w:rPr>
            </w:pPr>
          </w:p>
        </w:tc>
        <w:tc>
          <w:tcPr>
            <w:tcW w:w="344" w:type="dxa"/>
            <w:tcBorders>
              <w:top w:val="single" w:color="DDDDDD" w:sz="6" w:space="0"/>
              <w:left w:val="single" w:color="DDDDDD" w:sz="6" w:space="0"/>
              <w:bottom w:val="single" w:color="000000" w:sz="4" w:space="0"/>
              <w:right w:val="single" w:color="DDDDDD" w:sz="6"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合计</w:t>
            </w:r>
          </w:p>
        </w:tc>
        <w:tc>
          <w:tcPr>
            <w:tcW w:w="0" w:type="auto"/>
            <w:tcBorders>
              <w:top w:val="single" w:color="DDDDDD" w:sz="6" w:space="0"/>
              <w:left w:val="single" w:color="000000" w:sz="4"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0"/>
                <w:szCs w:val="20"/>
                <w:bdr w:val="none" w:color="auto" w:sz="0" w:space="0"/>
              </w:rPr>
              <w:t>120</w:t>
            </w:r>
          </w:p>
        </w:tc>
        <w:tc>
          <w:tcPr>
            <w:tcW w:w="0" w:type="auto"/>
            <w:gridSpan w:val="9"/>
            <w:tcBorders>
              <w:top w:val="single" w:color="000000" w:sz="4" w:space="0"/>
              <w:left w:val="single" w:color="DDDDDD" w:sz="6" w:space="0"/>
              <w:bottom w:val="single" w:color="000000" w:sz="4" w:space="0"/>
              <w:right w:val="single" w:color="000000" w:sz="4"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　</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w-iconfont">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A0BF4"/>
    <w:rsid w:val="647A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2021-06-25T13:48:00Z</dcterms:created>
  <dc:creator>Administrator</dc:creator>
  <cp:lastModifiedBy>Administrator</cp:lastModifiedBy>
  <dcterms:modified xsi:type="dcterms:W3CDTF">2021-06-25T13:49:29Z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