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Times New Roman" w:hAnsi="Times New Roman" w:eastAsia="仿宋_GB2312" w:cs="宋体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Times New Roman" w:hAnsi="Times New Roman" w:eastAsia="仿宋_GB2312" w:cs="宋体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jc w:val="center"/>
        <w:rPr>
          <w:rFonts w:hint="eastAsia" w:ascii="华文中宋" w:hAnsi="华文中宋" w:eastAsia="华文中宋" w:cs="华文中宋"/>
          <w:b w:val="0"/>
          <w:bCs/>
          <w:lang w:val="en-US" w:eastAsia="zh-CN"/>
        </w:rPr>
      </w:pPr>
      <w:r>
        <w:rPr>
          <w:rStyle w:val="6"/>
          <w:rFonts w:hint="eastAsia" w:ascii="华文中宋" w:hAnsi="华文中宋" w:eastAsia="华文中宋" w:cs="华文中宋"/>
          <w:b w:val="0"/>
          <w:bCs/>
          <w:sz w:val="32"/>
          <w:szCs w:val="32"/>
          <w:highlight w:val="none"/>
          <w:lang w:val="en-US" w:eastAsia="zh-CN"/>
        </w:rPr>
        <w:t>中国水利报社</w:t>
      </w:r>
      <w:r>
        <w:rPr>
          <w:rStyle w:val="6"/>
          <w:rFonts w:hint="eastAsia" w:ascii="华文中宋" w:hAnsi="华文中宋" w:eastAsia="华文中宋" w:cs="华文中宋"/>
          <w:b w:val="0"/>
          <w:bCs/>
          <w:sz w:val="32"/>
          <w:szCs w:val="32"/>
          <w:highlight w:val="none"/>
        </w:rPr>
        <w:t>公开招聘工作人员岗位信息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53"/>
        <w:gridCol w:w="722"/>
        <w:gridCol w:w="903"/>
        <w:gridCol w:w="680"/>
        <w:gridCol w:w="2459"/>
        <w:gridCol w:w="694"/>
        <w:gridCol w:w="3140"/>
        <w:gridCol w:w="1097"/>
        <w:gridCol w:w="722"/>
        <w:gridCol w:w="723"/>
        <w:gridCol w:w="1235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4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17" w:type="dxa"/>
            <w:gridSpan w:val="5"/>
            <w:vAlign w:val="center"/>
          </w:tcPr>
          <w:p>
            <w:pPr>
              <w:tabs>
                <w:tab w:val="left" w:pos="920"/>
              </w:tabs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0"/>
                <w:szCs w:val="22"/>
                <w:vertAlign w:val="baseline"/>
                <w:lang w:val="en-US" w:eastAsia="zh-CN"/>
              </w:rPr>
              <w:t>应聘人员条件</w:t>
            </w: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他</w:t>
            </w:r>
          </w:p>
        </w:tc>
        <w:tc>
          <w:tcPr>
            <w:tcW w:w="642" w:type="dxa"/>
            <w:vMerge w:val="continue"/>
          </w:tcPr>
          <w:p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0"/>
                <w:szCs w:val="20"/>
                <w:vertAlign w:val="baseline"/>
                <w:lang w:val="en-US" w:eastAsia="zh-CN"/>
              </w:rPr>
              <w:t>101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编辑部从事新闻采编工作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水利工程类、水利类、中国语言文学类、新闻传播学类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238C0"/>
    <w:rsid w:val="7F8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2021-07-05T08:21:00Z</dcterms:created>
  <dc:creator>user1</dc:creator>
  <cp:lastModifiedBy>user1</cp:lastModifiedBy>
  <dcterms:modified xsi:type="dcterms:W3CDTF">2021-07-05T08:24:22Z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