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平塘县人民医院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8"/>
          <w:sz w:val="44"/>
          <w:szCs w:val="44"/>
          <w:shd w:val="clear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招聘编外合同制专业技术人员简章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lang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为进一步深化医疗卫生体制改革，加强卫生专业技术人才队伍建设，努力造就一支人员充足、结构合理、素质较高的专业技术人才队伍，结合我院人才需求，经研究决定，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面向社会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编外合同制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专业技术人员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名。为确保本次招聘工作顺利进行，特制定本招聘方案。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一、工作原则及程序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招聘工作严格按照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公平、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公开、择优的原则进行，按照发布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、报名、笔试、面试、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体检、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考察、公示、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试用、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聘用的程序进行。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二、招聘岗位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详见附件1：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2021年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面向社会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编外合同制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专业技术人员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职位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三、招聘对象及条件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招聘对象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全日制大专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及以上学历的应、往届毕业生, 年龄在35周岁（1986年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月30日及以后出生）及以下。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（二）招聘条件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1.具有中华人民共和国国籍；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2.拥护中国共产党领导，热爱社会主义，遵纪守法，作风正派，有事业心，服从组织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安排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3.热爱本职工作，具有为医院奉献的精神；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4.五官端正，身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心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健康；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5.语言表达清晰、流畅、具有良好的沟通交流能力及亲和力；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6.具有良好的职业道德和团队协作精神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7.具备岗位所需的专业条件；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8.具备岗位要求的身体条件：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体检项目和标准参照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公务员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录用体检通用标准(试行)》(国人部发〔2005〕1号)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《公务员录用体检操作手册(试行)》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《关于印发&lt;公务员录用体检操作手册(试行)&gt;有关修订内容的通知》(人社部发〔2013〕58号)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《关于修订〈公务员录用体检通用标准(试行)〉及〈公务员录用体检操作手册〉(试行)有关内容的通知》(人社部发〔2016〕140号)、《关于印发公务员录用体检特殊标准(试行)的通知》(人社部发〔2010〕82号)和我省的有关规定执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（三）有下列情形之一者不得报考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1.受过党纪、行政处分尚未解除处分的；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2.受刑事处分并在服刑期间的；曾因犯罪受过刑事处罚或受过劳动教养的；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3.有违法违纪嫌疑正在接受审查的；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4.不符合招聘岗位所要求的相关资格条件的；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5.其他按法律法规规定不符合应聘条件的。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四、报名日期、地点及方式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（一）报名时间：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日—2021年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上午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0—11:30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下午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:30—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:00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（二）报名地点：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人力资源科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（门诊综合楼四楼）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（三）报名方式：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现场报名，报考人员须如实提交和填写本人有关信息和材料。凡弄虚作假的，一经查实，取消进入下一个环节的资格。不接受委托报名。 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凡符合招聘条件人员，根据招聘岗位要求，需提供以下材料：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1.有效居民身份证（临时有效居民身份证）原件及复印件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（必须）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2.学历证书原件及复印件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（必须）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5张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寸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底近期免冠正面清晰照片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（必须）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.执业资格证书原件及复印件；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.职称证书原件及复印件；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.相关荣誉证书原件及复印件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（四）资格审查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1.由资格审查人员根据《招聘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简章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》规定，现场对报名人员进行资格审查，确认证件是否齐全和真实有效，认定报名者是否具备资格。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2.受理报名，由本人填写《附件2：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面向社会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招聘编外合同制专业技术人员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报名表》。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3.经资格审查合格的报考人员，由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县人民医院将资格审查合格人员名单在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金盆网、平塘县人民医院公众号上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进行公示，公示期为3个工作日，经公示期满无异议后，方可进入下一轮。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auto"/>
          <w:kern w:val="0"/>
          <w:sz w:val="32"/>
          <w:szCs w:val="32"/>
        </w:rPr>
        <w:t>（五）领取笔试准考证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资格审查合格人员，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在接到平塘县人民医院通知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领取笔试准考证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后，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请携带本人身份证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在规定时间内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到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平塘县人民医院人力资源科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领取笔试准考证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若委托他人领取，需附委托书及被委托人身份证复印件。由于自身或委托人，造成笔试准考证丢失、损坏、涂改等原因无法验证，后果自负。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五、考试方式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考试方式将根据考生的报名情况确定，采取笔试、面试（专业测试）相结合的办法进行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招聘岗位计划招聘人数与报名人数达到1:3及以上比例的，采取笔试和面试（专业测试）相结合的方式进行，笔试、面试（专业测试）分值各为100分。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招聘岗位计划招聘人数与报名人数在1:3以内（不含1:3）的，经资格审查合格的直接进行面试（专业测试），面试（专业测试）分值为100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分，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面试成绩必须达60分及以上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，才能进入下一环节（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面试成绩四舍五入，保留小数点后面两位数）。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笔试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笔试为闭卷考试，笔试成绩按百分制计。笔试工作由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县人民医院组织实施。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笔试内容：相关专业知识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笔试时间：见考试准考证；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考试地点：见考试准考证；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考试均不指定参考用书、不组织也不委托任何机构举办考试辅导培训班。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>面试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面试工作由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县人民医院负责组织实施。面试日期待定。面试时间和地点详见面试准考证。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面试主要考察考生专业知识的运用能力。面试内容和面试方式由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县人民医院决定。笔试工作结束后，按照拟招聘计划人数与报名人数1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3的比例按笔试成绩高分至低分顺序确定面试人数。面试成绩按百分制计算。未能参加面试的考生或面试成绩无效</w:t>
      </w:r>
      <w:r>
        <w:rPr>
          <w:rFonts w:hint="eastAsia" w:ascii="仿宋_GB2312" w:hAnsi="宋体" w:eastAsia="仿宋_GB2312" w:cs="宋体"/>
          <w:b w:val="0"/>
          <w:bCs w:val="0"/>
          <w:color w:val="auto"/>
          <w:kern w:val="0"/>
          <w:sz w:val="32"/>
          <w:szCs w:val="32"/>
        </w:rPr>
        <w:t>的考生取消进入下一环节资格。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综合成绩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考生综合成绩按百分制计算。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考生考试综合成绩＝笔试成绩×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0%+面试成绩×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0%+加分。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面试结束后，由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县人民医院将考生考试综合成绩在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金盆网、平塘县人民医院公众号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进行公示，公示期为3个工作日，经公示期满无异议，方可进入下一轮。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六、体检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按照考生考试综合成绩由高分至低分顺序择优进入体检。体检名单在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金盆网、平塘县人民医院公众号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进行公示，公示期为3个工作日，经公示期满无异议，方可进入下一轮。体检工作由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县人民医院体检中心具体负责实施，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体检项目和标准参照《公务员录用体检通用标准》，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体检费用考生自理。在体检中，若有不合格人员，按综合成绩由高分至低分依次进行递补。体检合格人员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名单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将在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金盆网、平塘县人民医院公众号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上进行公示。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七、综合考核和考察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综合考核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县人民医院具体负责组织实施。对具备以下条件者，在综合成绩中给予加分：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具有执业助理医师资格加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2分；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具有本科学历加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5分；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具有执业医师资格、规培资格证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具有中级职称资格、硕士及以上学历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分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color w:val="auto"/>
          <w:kern w:val="0"/>
          <w:sz w:val="32"/>
          <w:szCs w:val="32"/>
        </w:rPr>
        <w:t>考察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考察组由3人以上组成，考察组应当广泛听取意见，做到客观、公正、全面，并据实写出考察材料。在职人员以在原单位的现实表现、年度考核为主要内容；其他人员以户籍所在地的现实表现为主要内容。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在考察中发现有下列情形之一者，视为考察不合格：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受过党纪、行政处分尚未解除处分的；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受刑事处分并在服刑期间的；曾因犯罪受过刑事处罚或受过劳动教养的；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有违法违纪嫌疑正在接受组织审查的；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rightChars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在考察过程中，因考生考察不合格（或未按要求完成考察）取消拟聘用资格，造成岗位空缺，按综合成绩由高分至低分依次进行递补。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考察由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县人民医院审定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八、公示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eastAsia="zh-CN"/>
        </w:rPr>
        <w:t>、试用</w:t>
      </w: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及聘用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</w:rPr>
        <w:t xml:space="preserve">   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考察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合格的报考人员，由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县人民医院将人员名单在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金盆网、平塘县人民医院公众号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进行公示，公示期为7个工作日，经公示期满无异议的人员，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列为拟聘对象进入平塘县人民医院试用（试用期为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1个月），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试用期满经考核合格者按医院有关规定办理聘用手续，试用期考核不合格将取消聘用。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九、聘用后待遇及管理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320" w:firstLineChars="1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（一）被聘用的人员需按要求与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平塘县人民医院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签订劳动合同。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right="0" w:firstLine="320" w:firstLineChars="100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（二）聘用人员的工资和福利待遇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按照《平塘县人民医院自主招聘人员工资待遇标准》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文件执行。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</w:rPr>
        <w:t>十、招聘纪律要求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招聘工作要严格执行有关政策规定，接受纪检监察部门监督，严禁招聘工作中循私舞弊,弄虚作假，对违反规定的人员一经查实,将按有关规定严肃处理。设立监督电话,加强对这项工作的监督检查，要严格执行政策，严格招聘程序，严肃招聘纪律，确保招聘工作顺利开展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县人民医院是本次招聘工作的责任主体，未尽事宜由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平塘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县人民医院负责解释。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咨询电话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0854-4831029  监督举报电话0854-4996367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ab/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3" w:firstLineChars="200"/>
        <w:jc w:val="both"/>
        <w:textAlignment w:val="auto"/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/>
          <w:bCs/>
          <w:color w:val="auto"/>
          <w:kern w:val="0"/>
          <w:sz w:val="32"/>
          <w:szCs w:val="32"/>
          <w:lang w:eastAsia="zh-CN"/>
        </w:rPr>
        <w:t>考生注意事项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由于目前处于新冠肺炎疫情防控时期，请广大考生注意：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1.中高风险地区参加报名考试的考生，需提供7天内的核酸检测阴性结果，且14天内行程码、健康码为绿码，体温测量正常（≤37.3℃）。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2.低风险地区参加报名考试的考生，需提供14天内行程码、健康码绿码，体温测量正常（≤37.3℃）。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3.中高风险地区经报名后参加笔试、面试的考生，需提供7天内的核酸检测阴性结果，且14天内行程码、健康码为绿码，体温测量正常（≤37.3℃）。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4.低风险地区经报名后参加笔试、面试的考生，需提供14天内行程码、健康码绿码，体温测量正常（≤37.3℃）。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8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8" w:leftChars="304" w:hanging="1280" w:hangingChars="4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附件：1.平塘县人民医院面向社会公开招聘编外合同制专业技术人员职位表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1916" w:leftChars="760" w:hanging="320" w:hangingChars="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2.平塘县人民医院面向社会公开招聘编外合同制专业技术人员报名表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left="0" w:right="0" w:firstLine="640" w:firstLine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right" w:pos="820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871" w:right="1531" w:bottom="1871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ab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平塘县人民医院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编外合同制专业技术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职位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表</w:t>
      </w:r>
    </w:p>
    <w:tbl>
      <w:tblPr>
        <w:tblStyle w:val="7"/>
        <w:tblpPr w:leftFromText="180" w:rightFromText="180" w:vertAnchor="text" w:horzAnchor="page" w:tblpX="509" w:tblpY="154"/>
        <w:tblOverlap w:val="never"/>
        <w:tblW w:w="16159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2046"/>
        <w:gridCol w:w="1568"/>
        <w:gridCol w:w="1582"/>
        <w:gridCol w:w="1568"/>
        <w:gridCol w:w="1623"/>
        <w:gridCol w:w="1459"/>
        <w:gridCol w:w="845"/>
        <w:gridCol w:w="1282"/>
        <w:gridCol w:w="1350"/>
        <w:gridCol w:w="106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7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20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单位咨询电话</w:t>
            </w:r>
          </w:p>
        </w:tc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招聘职位名称</w:t>
            </w:r>
          </w:p>
        </w:tc>
        <w:tc>
          <w:tcPr>
            <w:tcW w:w="15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招聘职位类别</w:t>
            </w:r>
          </w:p>
        </w:tc>
        <w:tc>
          <w:tcPr>
            <w:tcW w:w="16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职位简介</w:t>
            </w:r>
          </w:p>
        </w:tc>
        <w:tc>
          <w:tcPr>
            <w:tcW w:w="1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分类考试</w:t>
            </w:r>
          </w:p>
        </w:tc>
        <w:tc>
          <w:tcPr>
            <w:tcW w:w="8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0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其他报考条件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中西医临床医学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临床医生工作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针灸推拿学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口腔科工作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超声科工作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放射医生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放射科工作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医学基础知识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医学影像学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平塘县人民医院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平塘县金盆街道办事处新舟村拉高六组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0854-4831029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药剂人员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药剂科工作人员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药学相关知识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药学（非营销专业）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75" w:afterAutospacing="0" w:line="500" w:lineRule="exact"/>
        <w:ind w:right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sectPr>
          <w:pgSz w:w="16838" w:h="11906" w:orient="landscape"/>
          <w:pgMar w:top="1531" w:right="283" w:bottom="1531" w:left="283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spacing w:line="400" w:lineRule="exact"/>
        <w:jc w:val="left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平塘县人民医院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编外合同制专业技术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人员报名表</w:t>
      </w:r>
    </w:p>
    <w:tbl>
      <w:tblPr>
        <w:tblStyle w:val="7"/>
        <w:tblpPr w:leftFromText="180" w:rightFromText="180" w:vertAnchor="text" w:horzAnchor="margin" w:tblpX="-455" w:tblpY="437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1095"/>
        <w:gridCol w:w="1305"/>
        <w:gridCol w:w="1065"/>
        <w:gridCol w:w="1200"/>
        <w:gridCol w:w="1875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30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1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4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307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报考职位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357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电子邮箱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是否满足该职位要求的其它报考条件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875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是否符合加分</w:t>
            </w:r>
          </w:p>
        </w:tc>
        <w:tc>
          <w:tcPr>
            <w:tcW w:w="2150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联系电话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家庭地址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ind w:firstLine="3360" w:firstLineChars="1600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学习及工作经历（从高中起填）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800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>诚信承诺</w:t>
            </w:r>
          </w:p>
          <w:p>
            <w:pPr>
              <w:ind w:firstLine="420" w:firstLineChars="200"/>
              <w:jc w:val="both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本人符合报名条件的要求，在报名表中填写的个人信息均准确、真实。资格审查时</w:t>
            </w:r>
            <w:r>
              <w:rPr>
                <w:rFonts w:hint="eastAsia" w:ascii="仿宋_GB2312" w:hAnsi="黑体" w:eastAsia="仿宋_GB2312" w:cs="黑体"/>
                <w:szCs w:val="21"/>
              </w:rPr>
              <w:t>，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本人提供的身份证等原件均符合规定且真实有效。</w:t>
            </w:r>
            <w:r>
              <w:rPr>
                <w:rFonts w:hint="eastAsia" w:ascii="仿宋_GB2312" w:hAnsi="黑体" w:eastAsia="仿宋_GB2312" w:cs="黑体"/>
                <w:szCs w:val="21"/>
              </w:rPr>
              <w:t>若有虚假、遗漏、错误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而造成的一切后果</w:t>
            </w:r>
            <w:r>
              <w:rPr>
                <w:rFonts w:hint="eastAsia" w:ascii="仿宋_GB2312" w:hAnsi="黑体" w:eastAsia="仿宋_GB2312" w:cs="黑体"/>
                <w:szCs w:val="21"/>
              </w:rPr>
              <w:t>，责任自负。</w:t>
            </w: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 本人</w:t>
            </w:r>
            <w:r>
              <w:rPr>
                <w:rFonts w:hint="eastAsia" w:ascii="仿宋_GB2312" w:hAnsi="黑体" w:eastAsia="仿宋_GB2312" w:cs="黑体"/>
                <w:szCs w:val="21"/>
              </w:rPr>
              <w:t xml:space="preserve">签名：               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年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月</w:t>
            </w:r>
            <w:r>
              <w:rPr>
                <w:rFonts w:hint="eastAsia" w:ascii="仿宋_GB2312" w:hAnsi="黑体" w:eastAsia="仿宋_GB2312" w:cs="黑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黑体" w:eastAsia="仿宋_GB2312" w:cs="黑体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205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招考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  <w:lang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 w:val="24"/>
                <w:szCs w:val="24"/>
              </w:rPr>
              <w:t>意见</w:t>
            </w:r>
          </w:p>
        </w:tc>
        <w:tc>
          <w:tcPr>
            <w:tcW w:w="7595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105" w:firstLineChars="5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>审查人签字：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                  </w:t>
            </w:r>
          </w:p>
          <w:p>
            <w:pPr>
              <w:widowControl/>
              <w:ind w:firstLine="4200" w:firstLineChars="2000"/>
              <w:jc w:val="left"/>
              <w:rPr>
                <w:rFonts w:hint="eastAsia" w:ascii="仿宋_GB2312" w:hAnsi="黑体" w:eastAsia="仿宋_GB2312" w:cs="黑体"/>
                <w:kern w:val="0"/>
                <w:szCs w:val="21"/>
              </w:rPr>
            </w:pP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年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月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黑体" w:eastAsia="仿宋_GB2312" w:cs="黑体"/>
                <w:kern w:val="0"/>
                <w:szCs w:val="21"/>
              </w:rPr>
              <w:t xml:space="preserve"> 日（盖章）</w:t>
            </w:r>
          </w:p>
        </w:tc>
      </w:tr>
    </w:tbl>
    <w:p>
      <w:pPr>
        <w:spacing w:line="400" w:lineRule="exact"/>
        <w:jc w:val="center"/>
        <w:rPr>
          <w:rFonts w:hint="default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pacing w:val="-20"/>
          <w:sz w:val="24"/>
          <w:szCs w:val="24"/>
          <w:lang w:val="en-US" w:eastAsia="zh-CN"/>
        </w:rPr>
        <w:t xml:space="preserve">                                                                             </w:t>
      </w:r>
      <w:r>
        <w:rPr>
          <w:rFonts w:hint="eastAsia" w:ascii="宋体" w:hAnsi="宋体"/>
          <w:b/>
          <w:spacing w:val="-20"/>
          <w:sz w:val="24"/>
          <w:szCs w:val="24"/>
        </w:rPr>
        <w:t>报名序号：</w:t>
      </w:r>
    </w:p>
    <w:sectPr>
      <w:pgSz w:w="11906" w:h="16838"/>
      <w:pgMar w:top="1474" w:right="1531" w:bottom="147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01ABB"/>
    <w:rsid w:val="002C1552"/>
    <w:rsid w:val="00A2186E"/>
    <w:rsid w:val="03C404F6"/>
    <w:rsid w:val="043035C7"/>
    <w:rsid w:val="044B23B0"/>
    <w:rsid w:val="04F64191"/>
    <w:rsid w:val="055778EA"/>
    <w:rsid w:val="06126A1A"/>
    <w:rsid w:val="067F594E"/>
    <w:rsid w:val="06DE0D86"/>
    <w:rsid w:val="07536A01"/>
    <w:rsid w:val="08AA7D79"/>
    <w:rsid w:val="0A0D34B8"/>
    <w:rsid w:val="0B5A1E07"/>
    <w:rsid w:val="0E293657"/>
    <w:rsid w:val="0ED140C8"/>
    <w:rsid w:val="0F014AB6"/>
    <w:rsid w:val="11060DF4"/>
    <w:rsid w:val="11BF6F64"/>
    <w:rsid w:val="12D218F8"/>
    <w:rsid w:val="12D64FCF"/>
    <w:rsid w:val="13312E92"/>
    <w:rsid w:val="135B2FCB"/>
    <w:rsid w:val="13A76F3D"/>
    <w:rsid w:val="13AC3C20"/>
    <w:rsid w:val="14051ABB"/>
    <w:rsid w:val="148614E8"/>
    <w:rsid w:val="15254165"/>
    <w:rsid w:val="1563122C"/>
    <w:rsid w:val="189521F1"/>
    <w:rsid w:val="18AA3498"/>
    <w:rsid w:val="194A68E0"/>
    <w:rsid w:val="19A40A2A"/>
    <w:rsid w:val="1A301ABB"/>
    <w:rsid w:val="1A5C38B9"/>
    <w:rsid w:val="1CAA24D3"/>
    <w:rsid w:val="1DAA7329"/>
    <w:rsid w:val="1DC6216C"/>
    <w:rsid w:val="1EB36349"/>
    <w:rsid w:val="1F562154"/>
    <w:rsid w:val="1F5F0913"/>
    <w:rsid w:val="1FC77C06"/>
    <w:rsid w:val="211C7095"/>
    <w:rsid w:val="221A1DDE"/>
    <w:rsid w:val="23171333"/>
    <w:rsid w:val="242879DB"/>
    <w:rsid w:val="252321C9"/>
    <w:rsid w:val="25BA29F4"/>
    <w:rsid w:val="25DC632F"/>
    <w:rsid w:val="26445C97"/>
    <w:rsid w:val="26C13E35"/>
    <w:rsid w:val="26FB5955"/>
    <w:rsid w:val="28D54B68"/>
    <w:rsid w:val="2A030E9D"/>
    <w:rsid w:val="2C166487"/>
    <w:rsid w:val="2C372DE8"/>
    <w:rsid w:val="2D8C65D7"/>
    <w:rsid w:val="2DFF605D"/>
    <w:rsid w:val="2F284FF2"/>
    <w:rsid w:val="2F7A5405"/>
    <w:rsid w:val="2FC65A7E"/>
    <w:rsid w:val="30C7360A"/>
    <w:rsid w:val="30D641D0"/>
    <w:rsid w:val="30DB0956"/>
    <w:rsid w:val="318B0D7D"/>
    <w:rsid w:val="32D73FBF"/>
    <w:rsid w:val="32D8360A"/>
    <w:rsid w:val="32EB6BB3"/>
    <w:rsid w:val="334F75F3"/>
    <w:rsid w:val="340630B0"/>
    <w:rsid w:val="350006EE"/>
    <w:rsid w:val="36A13EFD"/>
    <w:rsid w:val="37120F4B"/>
    <w:rsid w:val="372908D4"/>
    <w:rsid w:val="37FE2BB2"/>
    <w:rsid w:val="38D869DF"/>
    <w:rsid w:val="39E474FC"/>
    <w:rsid w:val="3A5C1EE4"/>
    <w:rsid w:val="3BB300C4"/>
    <w:rsid w:val="3DB94DB2"/>
    <w:rsid w:val="3F1620FB"/>
    <w:rsid w:val="402D3F49"/>
    <w:rsid w:val="412300F8"/>
    <w:rsid w:val="4187739D"/>
    <w:rsid w:val="451B0F1D"/>
    <w:rsid w:val="458D3176"/>
    <w:rsid w:val="4635262F"/>
    <w:rsid w:val="47755544"/>
    <w:rsid w:val="47824397"/>
    <w:rsid w:val="4A92302D"/>
    <w:rsid w:val="4AF834FB"/>
    <w:rsid w:val="4B830B6F"/>
    <w:rsid w:val="4F31073D"/>
    <w:rsid w:val="4FBC3E29"/>
    <w:rsid w:val="51316EBC"/>
    <w:rsid w:val="537E71C4"/>
    <w:rsid w:val="542B5EE2"/>
    <w:rsid w:val="543D700E"/>
    <w:rsid w:val="54765925"/>
    <w:rsid w:val="54D01870"/>
    <w:rsid w:val="55791C3A"/>
    <w:rsid w:val="55B56C76"/>
    <w:rsid w:val="585E0459"/>
    <w:rsid w:val="58DA6C46"/>
    <w:rsid w:val="5A5B050B"/>
    <w:rsid w:val="5B662CD0"/>
    <w:rsid w:val="5B7F6146"/>
    <w:rsid w:val="5C3C3826"/>
    <w:rsid w:val="5D99431B"/>
    <w:rsid w:val="5E0E6C5D"/>
    <w:rsid w:val="5ECC37BD"/>
    <w:rsid w:val="5F412E00"/>
    <w:rsid w:val="5F9F55A3"/>
    <w:rsid w:val="5FE72FBE"/>
    <w:rsid w:val="60743E7E"/>
    <w:rsid w:val="607962EF"/>
    <w:rsid w:val="60896441"/>
    <w:rsid w:val="630418D9"/>
    <w:rsid w:val="631D16AE"/>
    <w:rsid w:val="65C27A6E"/>
    <w:rsid w:val="66E30AC9"/>
    <w:rsid w:val="67D172F9"/>
    <w:rsid w:val="68B835C7"/>
    <w:rsid w:val="6A7C3E6F"/>
    <w:rsid w:val="6AE5165A"/>
    <w:rsid w:val="6AF42869"/>
    <w:rsid w:val="6BDC1732"/>
    <w:rsid w:val="6BDE2166"/>
    <w:rsid w:val="6C425BD7"/>
    <w:rsid w:val="6CE409E0"/>
    <w:rsid w:val="6D530622"/>
    <w:rsid w:val="6F60608F"/>
    <w:rsid w:val="6F6A155D"/>
    <w:rsid w:val="700B41D3"/>
    <w:rsid w:val="718845BB"/>
    <w:rsid w:val="72055F64"/>
    <w:rsid w:val="73B01D7B"/>
    <w:rsid w:val="74AC0DE5"/>
    <w:rsid w:val="75003698"/>
    <w:rsid w:val="75023566"/>
    <w:rsid w:val="751F3A60"/>
    <w:rsid w:val="76CC6CB8"/>
    <w:rsid w:val="77634938"/>
    <w:rsid w:val="77861FCC"/>
    <w:rsid w:val="77AE1501"/>
    <w:rsid w:val="7A0A70F7"/>
    <w:rsid w:val="7B6332D0"/>
    <w:rsid w:val="7BAF1A7B"/>
    <w:rsid w:val="7CB60150"/>
    <w:rsid w:val="7D6111EC"/>
    <w:rsid w:val="7F2A645C"/>
    <w:rsid w:val="7F4D53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2021-06-17T01:01:00Z</dcterms:created>
  <dc:creator>无趣</dc:creator>
  <cp:lastModifiedBy>无需多言</cp:lastModifiedBy>
  <cp:lastPrinted>2021-06-25T10:16:00Z</cp:lastPrinted>
  <dcterms:modified xsi:type="dcterms:W3CDTF">2021-07-07T04:04:47Z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D32CE14A77E4440D9763CA5F038D518C</vt:lpwstr>
  </property>
</Properties>
</file>