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555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  <w:bdr w:val="none" w:color="auto" w:sz="0" w:space="0"/>
        </w:rPr>
        <w:t>招聘岗位及条件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4"/>
          <w:szCs w:val="24"/>
          <w:bdr w:val="none" w:color="auto" w:sz="0" w:space="0"/>
        </w:rPr>
        <w:t>   </w:t>
      </w:r>
    </w:p>
    <w:tbl>
      <w:tblPr>
        <w:tblW w:w="867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005"/>
        <w:gridCol w:w="615"/>
        <w:gridCol w:w="1590"/>
        <w:gridCol w:w="1365"/>
        <w:gridCol w:w="2340"/>
        <w:gridCol w:w="12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3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范围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护理学、护理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2021届普通高等院校本科及以上学历学位应届毕业生；或目前在三级医院临床护理工作的历届生。年龄30周岁及以下（1991年7月12日及以后出生）。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宁波市生源或户籍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检验师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医学检验、医学检验技术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具有检验师及以上职称，目前在二级及以上医院检验科工作且满3年及以上的历届生。年龄35周岁及以下（1986年7月12日及以后出生）。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生源或户籍不限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tblCellSpacing w:w="0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药剂师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药学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sz w:val="24"/>
                <w:szCs w:val="24"/>
                <w:bdr w:val="none" w:color="auto" w:sz="0" w:space="0"/>
              </w:rPr>
              <w:t>具有主管药师及以上职称，目前在三级医院药剂科工作且满3年及以上的历届生。年龄35周岁及以下（1986年7月12日及以后出生）。</w:t>
            </w: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D4D4D"/>
                <w:spacing w:val="0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  <w:bdr w:val="none" w:color="auto" w:sz="0" w:space="0"/>
        </w:rPr>
        <w:t>备注：以上人员均要求身心健康，无不良嗜好；具有良好的沟通能力和团队合作精神，服从工作调配；遵纪守法，无不良行为记录。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C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2021-07-15T01:06:06Z</dcterms:created>
  <dc:creator>Administrator</dc:creator>
  <cp:lastModifiedBy>那时花开咖啡馆。</cp:lastModifiedBy>
  <dcterms:modified xsi:type="dcterms:W3CDTF">2021-07-15T01:06:08Z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53BF96DBF7254E20AEAE835D565DD89F</vt:lpwstr>
  </property>
</Properties>
</file>